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cs="Times New Roman"/>
          <w:b/>
          <w:sz w:val="32"/>
          <w:szCs w:val="32"/>
        </w:rPr>
      </w:pPr>
      <w:bookmarkStart w:id="0" w:name="_Hlk31977543"/>
      <w:r>
        <w:rPr>
          <w:rFonts w:ascii="楷体" w:hAnsi="楷体" w:eastAsia="楷体" w:cs="Times New Roman"/>
          <w:b/>
          <w:sz w:val="32"/>
          <w:szCs w:val="32"/>
        </w:rPr>
        <w:t>综合支付业务服务协议</w:t>
      </w:r>
    </w:p>
    <w:p>
      <w:pPr>
        <w:wordWrap w:val="0"/>
        <w:jc w:val="right"/>
        <w:rPr>
          <w:rFonts w:ascii="楷体" w:hAnsi="楷体" w:eastAsia="楷体"/>
          <w:b/>
          <w:szCs w:val="21"/>
        </w:rPr>
      </w:pPr>
      <w:r>
        <w:rPr>
          <w:rFonts w:ascii="楷体" w:hAnsi="楷体" w:eastAsia="楷体"/>
          <w:b/>
          <w:szCs w:val="21"/>
        </w:rPr>
        <w:t>协议编号</w:t>
      </w:r>
      <w:r>
        <w:rPr>
          <w:rFonts w:hint="eastAsia" w:ascii="楷体" w:hAnsi="楷体" w:eastAsia="楷体"/>
          <w:b/>
          <w:szCs w:val="21"/>
        </w:rPr>
        <w:t>：</w:t>
      </w:r>
      <w:permStart w:id="0" w:edGrp="everyone"/>
      <w:r>
        <w:rPr>
          <w:rFonts w:hint="eastAsia" w:ascii="楷体" w:hAnsi="楷体" w:eastAsia="楷体"/>
          <w:b/>
          <w:szCs w:val="21"/>
        </w:rPr>
        <w:t xml:space="preserve"> </w:t>
      </w:r>
      <w:r>
        <w:rPr>
          <w:rFonts w:ascii="楷体" w:hAnsi="楷体" w:eastAsia="楷体"/>
          <w:b/>
          <w:szCs w:val="21"/>
        </w:rPr>
        <w:t xml:space="preserve">                 </w:t>
      </w:r>
      <w:permEnd w:id="0"/>
    </w:p>
    <w:p>
      <w:pPr>
        <w:ind w:firstLine="422" w:firstLineChars="200"/>
        <w:rPr>
          <w:rFonts w:ascii="楷体" w:hAnsi="楷体" w:eastAsia="楷体" w:cs="Times New Roman"/>
          <w:b/>
          <w:sz w:val="36"/>
          <w:szCs w:val="36"/>
        </w:rPr>
      </w:pPr>
      <w:r>
        <w:rPr>
          <w:rFonts w:hint="eastAsia" w:ascii="楷体" w:hAnsi="楷体" w:eastAsia="楷体"/>
          <w:b/>
          <w:szCs w:val="21"/>
        </w:rPr>
        <w:t>本综合支付业务服务协议由以下双方于</w:t>
      </w:r>
      <w:r>
        <w:rPr>
          <w:rFonts w:hint="eastAsia" w:ascii="楷体" w:hAnsi="楷体" w:eastAsia="楷体"/>
          <w:b/>
          <w:szCs w:val="21"/>
          <w:u w:val="single"/>
        </w:rPr>
        <w:t>上海市徐汇区</w:t>
      </w:r>
      <w:r>
        <w:rPr>
          <w:rFonts w:hint="eastAsia" w:ascii="楷体" w:hAnsi="楷体" w:eastAsia="楷体"/>
          <w:b/>
          <w:szCs w:val="21"/>
        </w:rPr>
        <w:t>签订。双方应通过友好协商解决本协议相关争议，否则，应向</w:t>
      </w:r>
      <w:r>
        <w:rPr>
          <w:rFonts w:hint="eastAsia" w:ascii="楷体" w:hAnsi="楷体" w:eastAsia="楷体"/>
          <w:b/>
          <w:szCs w:val="21"/>
          <w:u w:val="single"/>
        </w:rPr>
        <w:t>乙方住所地法院</w:t>
      </w:r>
      <w:r>
        <w:rPr>
          <w:rFonts w:hint="eastAsia" w:ascii="楷体" w:hAnsi="楷体" w:eastAsia="楷体"/>
          <w:b/>
          <w:szCs w:val="21"/>
        </w:rPr>
        <w:t>起诉。</w:t>
      </w:r>
    </w:p>
    <w:p>
      <w:pPr>
        <w:ind w:firstLine="420" w:firstLineChars="200"/>
        <w:rPr>
          <w:rFonts w:ascii="楷体_GB2312" w:eastAsia="楷体_GB2312"/>
          <w:szCs w:val="21"/>
        </w:rPr>
      </w:pPr>
      <w:r>
        <w:rPr>
          <w:rFonts w:hint="eastAsia" w:ascii="楷体_GB2312" w:eastAsia="楷体_GB2312"/>
          <w:szCs w:val="21"/>
        </w:rPr>
        <w:t>甲    方：</w:t>
      </w:r>
      <w:permStart w:id="1" w:edGrp="everyone"/>
      <w:r>
        <w:rPr>
          <w:rFonts w:hint="eastAsia" w:ascii="楷体_GB2312" w:eastAsia="楷体_GB2312"/>
          <w:szCs w:val="21"/>
        </w:rPr>
        <w:t xml:space="preserve">                        </w:t>
      </w:r>
      <w:permEnd w:id="1"/>
      <w:r>
        <w:rPr>
          <w:rFonts w:hint="eastAsia" w:ascii="楷体_GB2312" w:eastAsia="楷体_GB2312"/>
          <w:szCs w:val="21"/>
        </w:rPr>
        <w:t>（商户）</w:t>
      </w:r>
    </w:p>
    <w:p>
      <w:pPr>
        <w:ind w:firstLine="420" w:firstLineChars="200"/>
        <w:rPr>
          <w:rFonts w:ascii="楷体_GB2312" w:eastAsia="楷体_GB2312"/>
          <w:szCs w:val="21"/>
        </w:rPr>
      </w:pPr>
      <w:r>
        <w:rPr>
          <w:rFonts w:hint="eastAsia" w:ascii="楷体_GB2312" w:eastAsia="楷体_GB2312"/>
          <w:szCs w:val="21"/>
        </w:rPr>
        <w:t>地    址：</w:t>
      </w:r>
      <w:permStart w:id="2" w:edGrp="everyone"/>
      <w:r>
        <w:rPr>
          <w:rFonts w:hint="eastAsia" w:ascii="楷体_GB2312" w:eastAsia="楷体_GB2312"/>
          <w:szCs w:val="21"/>
        </w:rPr>
        <w:t xml:space="preserve">                        </w:t>
      </w:r>
      <w:permEnd w:id="2"/>
    </w:p>
    <w:p>
      <w:pPr>
        <w:ind w:firstLine="420" w:firstLineChars="200"/>
        <w:rPr>
          <w:rFonts w:ascii="楷体_GB2312" w:eastAsia="楷体_GB2312"/>
          <w:szCs w:val="21"/>
        </w:rPr>
      </w:pPr>
      <w:r>
        <w:rPr>
          <w:rFonts w:hint="eastAsia" w:ascii="楷体_GB2312" w:eastAsia="楷体_GB2312"/>
          <w:szCs w:val="21"/>
        </w:rPr>
        <w:t>乙    方：</w:t>
      </w:r>
      <w:r>
        <w:rPr>
          <w:rFonts w:hint="eastAsia" w:ascii="楷体_GB2312" w:eastAsia="楷体_GB2312"/>
          <w:b/>
          <w:szCs w:val="21"/>
        </w:rPr>
        <w:t>上海汇付数据服务有限公司</w:t>
      </w:r>
    </w:p>
    <w:p>
      <w:pPr>
        <w:ind w:firstLine="420" w:firstLineChars="200"/>
        <w:rPr>
          <w:rFonts w:ascii="楷体_GB2312" w:eastAsia="楷体_GB2312"/>
          <w:szCs w:val="21"/>
        </w:rPr>
      </w:pPr>
      <w:r>
        <w:rPr>
          <w:rFonts w:hint="eastAsia" w:ascii="楷体_GB2312" w:eastAsia="楷体_GB2312"/>
          <w:szCs w:val="21"/>
        </w:rPr>
        <w:t>地    址：</w:t>
      </w:r>
      <w:r>
        <w:rPr>
          <w:rFonts w:ascii="楷体_GB2312" w:eastAsia="楷体_GB2312"/>
          <w:szCs w:val="21"/>
        </w:rPr>
        <w:t>上海市宜山路700号普天产业园2期C5栋</w:t>
      </w:r>
      <w:r>
        <w:rPr>
          <w:rFonts w:hint="eastAsia" w:ascii="楷体_GB2312" w:eastAsia="楷体_GB2312"/>
          <w:szCs w:val="21"/>
        </w:rPr>
        <w:t xml:space="preserve">  联系电话：021－33323999</w:t>
      </w:r>
      <w:bookmarkStart w:id="22" w:name="_GoBack"/>
      <w:bookmarkEnd w:id="22"/>
    </w:p>
    <w:tbl>
      <w:tblPr>
        <w:tblStyle w:val="8"/>
        <w:tblpPr w:leftFromText="180" w:rightFromText="180" w:vertAnchor="text" w:horzAnchor="margin" w:tblpY="103"/>
        <w:tblW w:w="5000" w:type="pct"/>
        <w:tblInd w:w="0"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autofit"/>
        <w:tblCellMar>
          <w:top w:w="0" w:type="dxa"/>
          <w:left w:w="108" w:type="dxa"/>
          <w:bottom w:w="0" w:type="dxa"/>
          <w:right w:w="108" w:type="dxa"/>
        </w:tblCellMar>
      </w:tblPr>
      <w:tblGrid>
        <w:gridCol w:w="435"/>
        <w:gridCol w:w="1068"/>
        <w:gridCol w:w="1028"/>
        <w:gridCol w:w="767"/>
        <w:gridCol w:w="756"/>
        <w:gridCol w:w="1158"/>
        <w:gridCol w:w="716"/>
        <w:gridCol w:w="1448"/>
        <w:gridCol w:w="3612"/>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274" w:hRule="atLeast"/>
        </w:trPr>
        <w:tc>
          <w:tcPr>
            <w:tcW w:w="198" w:type="pct"/>
            <w:vMerge w:val="restart"/>
            <w:vAlign w:val="center"/>
          </w:tcPr>
          <w:p>
            <w:pPr>
              <w:jc w:val="center"/>
              <w:rPr>
                <w:rFonts w:ascii="楷体" w:hAnsi="楷体" w:eastAsia="楷体"/>
                <w:szCs w:val="21"/>
              </w:rPr>
            </w:pPr>
            <w:r>
              <w:rPr>
                <w:rFonts w:hint="eastAsia" w:ascii="楷体" w:hAnsi="楷体" w:eastAsia="楷体"/>
                <w:szCs w:val="21"/>
              </w:rPr>
              <w:t>甲方信息</w:t>
            </w:r>
          </w:p>
        </w:tc>
        <w:tc>
          <w:tcPr>
            <w:tcW w:w="954" w:type="pct"/>
            <w:gridSpan w:val="2"/>
            <w:vAlign w:val="center"/>
          </w:tcPr>
          <w:p>
            <w:pPr>
              <w:jc w:val="center"/>
              <w:rPr>
                <w:rFonts w:ascii="楷体" w:hAnsi="楷体" w:eastAsia="楷体"/>
                <w:szCs w:val="21"/>
              </w:rPr>
            </w:pPr>
            <w:r>
              <w:rPr>
                <w:rFonts w:hint="eastAsia" w:ascii="楷体" w:hAnsi="楷体" w:eastAsia="楷体"/>
                <w:szCs w:val="21"/>
              </w:rPr>
              <w:t>开户名称</w:t>
            </w:r>
          </w:p>
        </w:tc>
        <w:tc>
          <w:tcPr>
            <w:tcW w:w="1220" w:type="pct"/>
            <w:gridSpan w:val="3"/>
            <w:vAlign w:val="center"/>
          </w:tcPr>
          <w:p>
            <w:pPr>
              <w:jc w:val="center"/>
              <w:rPr>
                <w:rFonts w:ascii="楷体" w:hAnsi="楷体" w:eastAsia="楷体"/>
                <w:szCs w:val="21"/>
              </w:rPr>
            </w:pPr>
            <w:permStart w:id="3" w:edGrp="everyone"/>
            <w:r>
              <w:rPr>
                <w:rFonts w:hint="eastAsia" w:ascii="楷体" w:hAnsi="楷体" w:eastAsia="楷体"/>
                <w:szCs w:val="21"/>
              </w:rPr>
              <w:t xml:space="preserve"> </w:t>
            </w:r>
            <w:r>
              <w:rPr>
                <w:rFonts w:ascii="楷体" w:hAnsi="楷体" w:eastAsia="楷体"/>
                <w:szCs w:val="21"/>
              </w:rPr>
              <w:t xml:space="preserve">      </w:t>
            </w:r>
            <w:permEnd w:id="3"/>
          </w:p>
        </w:tc>
        <w:tc>
          <w:tcPr>
            <w:tcW w:w="985" w:type="pct"/>
            <w:gridSpan w:val="2"/>
            <w:vAlign w:val="center"/>
          </w:tcPr>
          <w:p>
            <w:pPr>
              <w:jc w:val="center"/>
              <w:rPr>
                <w:rFonts w:ascii="楷体" w:hAnsi="楷体" w:eastAsia="楷体"/>
                <w:szCs w:val="21"/>
              </w:rPr>
            </w:pPr>
            <w:r>
              <w:rPr>
                <w:rFonts w:hint="eastAsia" w:ascii="楷体" w:hAnsi="楷体" w:eastAsia="楷体"/>
                <w:szCs w:val="21"/>
              </w:rPr>
              <w:t>银行账号</w:t>
            </w:r>
          </w:p>
        </w:tc>
        <w:tc>
          <w:tcPr>
            <w:tcW w:w="1643" w:type="pct"/>
            <w:vAlign w:val="center"/>
          </w:tcPr>
          <w:p>
            <w:pPr>
              <w:jc w:val="center"/>
              <w:rPr>
                <w:rFonts w:ascii="楷体" w:hAnsi="楷体" w:eastAsia="楷体"/>
                <w:szCs w:val="21"/>
              </w:rPr>
            </w:pPr>
            <w:permStart w:id="4" w:edGrp="everyone"/>
            <w:r>
              <w:rPr>
                <w:rFonts w:ascii="楷体" w:hAnsi="楷体" w:eastAsia="楷体"/>
                <w:szCs w:val="21"/>
              </w:rPr>
              <w:t xml:space="preserve">       </w:t>
            </w:r>
            <w:permEnd w:id="4"/>
            <w:r>
              <w:rPr>
                <w:rFonts w:hint="eastAsia" w:ascii="楷体" w:hAnsi="楷体" w:eastAsia="楷体"/>
                <w:sz w:val="18"/>
                <w:szCs w:val="18"/>
              </w:rPr>
              <w:t>（即取现/结算账号）</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274" w:hRule="atLeast"/>
        </w:trPr>
        <w:tc>
          <w:tcPr>
            <w:tcW w:w="198" w:type="pct"/>
            <w:vMerge w:val="continue"/>
            <w:vAlign w:val="center"/>
          </w:tcPr>
          <w:p>
            <w:pPr>
              <w:jc w:val="center"/>
              <w:rPr>
                <w:rFonts w:ascii="楷体" w:hAnsi="楷体" w:eastAsia="楷体"/>
                <w:szCs w:val="21"/>
              </w:rPr>
            </w:pPr>
          </w:p>
        </w:tc>
        <w:tc>
          <w:tcPr>
            <w:tcW w:w="954" w:type="pct"/>
            <w:gridSpan w:val="2"/>
            <w:vAlign w:val="center"/>
          </w:tcPr>
          <w:p>
            <w:pPr>
              <w:jc w:val="center"/>
              <w:rPr>
                <w:rFonts w:ascii="楷体" w:hAnsi="楷体" w:eastAsia="楷体"/>
                <w:szCs w:val="21"/>
              </w:rPr>
            </w:pPr>
            <w:r>
              <w:rPr>
                <w:rFonts w:hint="eastAsia" w:ascii="楷体" w:hAnsi="楷体" w:eastAsia="楷体"/>
                <w:szCs w:val="21"/>
              </w:rPr>
              <w:t xml:space="preserve">开户银行 </w:t>
            </w:r>
          </w:p>
        </w:tc>
        <w:tc>
          <w:tcPr>
            <w:tcW w:w="1220" w:type="pct"/>
            <w:gridSpan w:val="3"/>
            <w:vAlign w:val="center"/>
          </w:tcPr>
          <w:p>
            <w:pPr>
              <w:jc w:val="center"/>
              <w:rPr>
                <w:rFonts w:ascii="楷体" w:hAnsi="楷体" w:eastAsia="楷体"/>
                <w:szCs w:val="21"/>
              </w:rPr>
            </w:pPr>
            <w:permStart w:id="5" w:edGrp="everyone"/>
            <w:r>
              <w:rPr>
                <w:rFonts w:ascii="楷体" w:hAnsi="楷体" w:eastAsia="楷体"/>
                <w:szCs w:val="21"/>
              </w:rPr>
              <w:t xml:space="preserve">       </w:t>
            </w:r>
            <w:permEnd w:id="5"/>
          </w:p>
        </w:tc>
        <w:tc>
          <w:tcPr>
            <w:tcW w:w="985" w:type="pct"/>
            <w:gridSpan w:val="2"/>
            <w:vAlign w:val="center"/>
          </w:tcPr>
          <w:p>
            <w:pPr>
              <w:jc w:val="center"/>
              <w:rPr>
                <w:rFonts w:ascii="楷体" w:hAnsi="楷体" w:eastAsia="楷体"/>
                <w:szCs w:val="21"/>
              </w:rPr>
            </w:pPr>
            <w:r>
              <w:rPr>
                <w:rFonts w:hint="eastAsia" w:ascii="楷体" w:hAnsi="楷体" w:eastAsia="楷体"/>
                <w:szCs w:val="21"/>
              </w:rPr>
              <w:t>联系人</w:t>
            </w:r>
          </w:p>
        </w:tc>
        <w:tc>
          <w:tcPr>
            <w:tcW w:w="1643" w:type="pct"/>
            <w:vAlign w:val="center"/>
          </w:tcPr>
          <w:p>
            <w:pPr>
              <w:jc w:val="right"/>
              <w:rPr>
                <w:rFonts w:ascii="楷体" w:hAnsi="楷体" w:eastAsia="楷体"/>
                <w:szCs w:val="21"/>
              </w:rPr>
            </w:pPr>
            <w:permStart w:id="6" w:edGrp="everyone"/>
            <w:r>
              <w:rPr>
                <w:rFonts w:hint="eastAsia" w:ascii="楷体" w:hAnsi="楷体" w:eastAsia="楷体"/>
                <w:szCs w:val="21"/>
              </w:rPr>
              <w:t xml:space="preserve"> </w:t>
            </w:r>
            <w:r>
              <w:rPr>
                <w:rFonts w:ascii="楷体" w:hAnsi="楷体" w:eastAsia="楷体"/>
                <w:szCs w:val="21"/>
              </w:rPr>
              <w:t xml:space="preserve">      </w:t>
            </w:r>
            <w:permEnd w:id="6"/>
            <w:r>
              <w:rPr>
                <w:rFonts w:hint="eastAsia" w:ascii="楷体" w:hAnsi="楷体" w:eastAsia="楷体"/>
                <w:sz w:val="18"/>
                <w:szCs w:val="18"/>
              </w:rPr>
              <w:t>（即调单联系人）</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274" w:hRule="atLeast"/>
        </w:trPr>
        <w:tc>
          <w:tcPr>
            <w:tcW w:w="198" w:type="pct"/>
            <w:vMerge w:val="continue"/>
            <w:vAlign w:val="center"/>
          </w:tcPr>
          <w:p>
            <w:pPr>
              <w:jc w:val="center"/>
              <w:rPr>
                <w:rFonts w:ascii="楷体" w:hAnsi="楷体" w:eastAsia="楷体"/>
                <w:szCs w:val="21"/>
              </w:rPr>
            </w:pPr>
          </w:p>
        </w:tc>
        <w:tc>
          <w:tcPr>
            <w:tcW w:w="954" w:type="pct"/>
            <w:gridSpan w:val="2"/>
            <w:vAlign w:val="center"/>
          </w:tcPr>
          <w:p>
            <w:pPr>
              <w:jc w:val="center"/>
              <w:rPr>
                <w:rFonts w:ascii="楷体" w:hAnsi="楷体" w:eastAsia="楷体"/>
                <w:szCs w:val="21"/>
              </w:rPr>
            </w:pPr>
            <w:r>
              <w:rPr>
                <w:rFonts w:hint="eastAsia" w:ascii="楷体" w:hAnsi="楷体" w:eastAsia="楷体"/>
                <w:szCs w:val="21"/>
              </w:rPr>
              <w:t>电子邮箱</w:t>
            </w:r>
          </w:p>
        </w:tc>
        <w:tc>
          <w:tcPr>
            <w:tcW w:w="1220" w:type="pct"/>
            <w:gridSpan w:val="3"/>
            <w:vAlign w:val="center"/>
          </w:tcPr>
          <w:p>
            <w:pPr>
              <w:ind w:right="840"/>
              <w:rPr>
                <w:rFonts w:ascii="楷体" w:hAnsi="楷体" w:eastAsia="楷体"/>
                <w:sz w:val="18"/>
                <w:szCs w:val="18"/>
              </w:rPr>
            </w:pPr>
            <w:permStart w:id="7" w:edGrp="everyone"/>
            <w:r>
              <w:rPr>
                <w:rFonts w:ascii="楷体" w:hAnsi="楷体" w:eastAsia="楷体"/>
                <w:szCs w:val="21"/>
              </w:rPr>
              <w:t xml:space="preserve">              </w:t>
            </w:r>
            <w:permEnd w:id="7"/>
          </w:p>
        </w:tc>
        <w:tc>
          <w:tcPr>
            <w:tcW w:w="985" w:type="pct"/>
            <w:gridSpan w:val="2"/>
            <w:vAlign w:val="center"/>
          </w:tcPr>
          <w:p>
            <w:pPr>
              <w:jc w:val="center"/>
              <w:rPr>
                <w:rFonts w:ascii="楷体" w:hAnsi="楷体" w:eastAsia="楷体"/>
                <w:szCs w:val="21"/>
              </w:rPr>
            </w:pPr>
            <w:r>
              <w:rPr>
                <w:rFonts w:hint="eastAsia" w:ascii="楷体" w:hAnsi="楷体" w:eastAsia="楷体"/>
                <w:szCs w:val="21"/>
              </w:rPr>
              <w:t>移动电话</w:t>
            </w:r>
          </w:p>
        </w:tc>
        <w:tc>
          <w:tcPr>
            <w:tcW w:w="1643" w:type="pct"/>
            <w:vAlign w:val="center"/>
          </w:tcPr>
          <w:p>
            <w:pPr>
              <w:jc w:val="center"/>
              <w:rPr>
                <w:rFonts w:ascii="楷体" w:hAnsi="楷体" w:eastAsia="楷体"/>
                <w:szCs w:val="21"/>
              </w:rPr>
            </w:pPr>
            <w:permStart w:id="8" w:edGrp="everyone"/>
            <w:r>
              <w:rPr>
                <w:rFonts w:ascii="楷体" w:hAnsi="楷体" w:eastAsia="楷体"/>
                <w:szCs w:val="21"/>
              </w:rPr>
              <w:t xml:space="preserve">       </w:t>
            </w:r>
            <w:permEnd w:id="8"/>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tcPr>
          <w:p>
            <w:pPr>
              <w:jc w:val="center"/>
              <w:rPr>
                <w:rFonts w:ascii="楷体" w:hAnsi="楷体" w:eastAsia="楷体"/>
                <w:szCs w:val="21"/>
              </w:rPr>
            </w:pPr>
          </w:p>
        </w:tc>
        <w:tc>
          <w:tcPr>
            <w:tcW w:w="954" w:type="pct"/>
            <w:gridSpan w:val="2"/>
            <w:vAlign w:val="center"/>
          </w:tcPr>
          <w:p>
            <w:pPr>
              <w:jc w:val="center"/>
              <w:rPr>
                <w:rFonts w:ascii="楷体" w:hAnsi="楷体" w:eastAsia="楷体"/>
                <w:szCs w:val="21"/>
              </w:rPr>
            </w:pPr>
            <w:r>
              <w:rPr>
                <w:rFonts w:hint="eastAsia" w:ascii="楷体" w:hAnsi="楷体" w:eastAsia="楷体"/>
                <w:szCs w:val="21"/>
              </w:rPr>
              <w:t>装机场所类别</w:t>
            </w:r>
          </w:p>
        </w:tc>
        <w:tc>
          <w:tcPr>
            <w:tcW w:w="1220" w:type="pct"/>
            <w:gridSpan w:val="3"/>
            <w:vAlign w:val="center"/>
          </w:tcPr>
          <w:p>
            <w:pPr>
              <w:jc w:val="center"/>
              <w:rPr>
                <w:rFonts w:ascii="楷体" w:hAnsi="楷体" w:eastAsia="楷体"/>
                <w:szCs w:val="21"/>
              </w:rPr>
            </w:pPr>
            <w:permStart w:id="9" w:edGrp="everyone"/>
            <w:r>
              <w:rPr>
                <w:rFonts w:hint="eastAsia" w:ascii="楷体" w:hAnsi="楷体" w:eastAsia="楷体"/>
                <w:szCs w:val="21"/>
              </w:rPr>
              <w:sym w:font="Wingdings" w:char="F0A8"/>
            </w:r>
            <w:permEnd w:id="9"/>
            <w:r>
              <w:rPr>
                <w:rFonts w:hint="eastAsia" w:ascii="楷体" w:hAnsi="楷体" w:eastAsia="楷体"/>
                <w:szCs w:val="21"/>
              </w:rPr>
              <w:t xml:space="preserve">多店       </w:t>
            </w:r>
            <w:permStart w:id="10" w:edGrp="everyone"/>
            <w:r>
              <w:rPr>
                <w:rFonts w:hint="eastAsia" w:ascii="楷体" w:hAnsi="楷体" w:eastAsia="楷体"/>
                <w:szCs w:val="21"/>
              </w:rPr>
              <w:sym w:font="Wingdings" w:char="F0A8"/>
            </w:r>
            <w:permEnd w:id="10"/>
            <w:r>
              <w:rPr>
                <w:rFonts w:hint="eastAsia" w:ascii="楷体" w:hAnsi="楷体" w:eastAsia="楷体"/>
                <w:szCs w:val="21"/>
              </w:rPr>
              <w:t>单店</w:t>
            </w:r>
          </w:p>
        </w:tc>
        <w:tc>
          <w:tcPr>
            <w:tcW w:w="985" w:type="pct"/>
            <w:gridSpan w:val="2"/>
            <w:vAlign w:val="center"/>
          </w:tcPr>
          <w:p>
            <w:pPr>
              <w:jc w:val="center"/>
              <w:rPr>
                <w:rFonts w:ascii="楷体" w:hAnsi="楷体" w:eastAsia="楷体"/>
                <w:szCs w:val="21"/>
              </w:rPr>
            </w:pPr>
            <w:r>
              <w:rPr>
                <w:rFonts w:hint="eastAsia" w:ascii="楷体" w:hAnsi="楷体" w:eastAsia="楷体"/>
                <w:szCs w:val="21"/>
              </w:rPr>
              <w:t>办公电话</w:t>
            </w:r>
          </w:p>
        </w:tc>
        <w:tc>
          <w:tcPr>
            <w:tcW w:w="1643" w:type="pct"/>
            <w:vAlign w:val="center"/>
          </w:tcPr>
          <w:p>
            <w:pPr>
              <w:jc w:val="center"/>
              <w:rPr>
                <w:rFonts w:ascii="楷体" w:hAnsi="楷体" w:eastAsia="楷体"/>
                <w:szCs w:val="21"/>
              </w:rPr>
            </w:pPr>
            <w:permStart w:id="11" w:edGrp="everyone"/>
            <w:r>
              <w:rPr>
                <w:rFonts w:ascii="楷体" w:hAnsi="楷体" w:eastAsia="楷体"/>
                <w:szCs w:val="21"/>
              </w:rPr>
              <w:t xml:space="preserve">       </w:t>
            </w:r>
            <w:permEnd w:id="11"/>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954" w:type="pct"/>
            <w:gridSpan w:val="2"/>
            <w:vAlign w:val="center"/>
          </w:tcPr>
          <w:p>
            <w:pPr>
              <w:jc w:val="center"/>
              <w:rPr>
                <w:rFonts w:ascii="楷体" w:hAnsi="楷体" w:eastAsia="楷体"/>
                <w:szCs w:val="21"/>
              </w:rPr>
            </w:pPr>
            <w:r>
              <w:rPr>
                <w:rFonts w:hint="eastAsia" w:ascii="楷体" w:hAnsi="楷体" w:eastAsia="楷体"/>
                <w:szCs w:val="21"/>
              </w:rPr>
              <w:t>引荐方名称/姓名</w:t>
            </w:r>
          </w:p>
        </w:tc>
        <w:tc>
          <w:tcPr>
            <w:tcW w:w="1220" w:type="pct"/>
            <w:gridSpan w:val="3"/>
            <w:tcBorders>
              <w:right w:val="single" w:color="auto" w:sz="4" w:space="0"/>
            </w:tcBorders>
            <w:vAlign w:val="center"/>
          </w:tcPr>
          <w:p>
            <w:pPr>
              <w:jc w:val="center"/>
              <w:rPr>
                <w:rFonts w:ascii="楷体" w:hAnsi="楷体" w:eastAsia="楷体"/>
                <w:szCs w:val="21"/>
              </w:rPr>
            </w:pPr>
            <w:permStart w:id="12" w:edGrp="everyone"/>
            <w:r>
              <w:rPr>
                <w:rFonts w:ascii="楷体" w:hAnsi="楷体" w:eastAsia="楷体"/>
                <w:szCs w:val="21"/>
              </w:rPr>
              <w:t xml:space="preserve">       </w:t>
            </w:r>
            <w:permEnd w:id="12"/>
          </w:p>
        </w:tc>
        <w:tc>
          <w:tcPr>
            <w:tcW w:w="985"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szCs w:val="21"/>
              </w:rPr>
            </w:pPr>
            <w:permStart w:id="13" w:edGrp="everyone"/>
            <w:r>
              <w:rPr>
                <w:rFonts w:hint="eastAsia" w:ascii="楷体" w:hAnsi="楷体" w:eastAsia="楷体"/>
                <w:szCs w:val="21"/>
              </w:rPr>
              <w:sym w:font="Wingdings" w:char="F0A8"/>
            </w:r>
            <w:permEnd w:id="13"/>
            <w:r>
              <w:rPr>
                <w:rFonts w:hint="eastAsia" w:ascii="楷体" w:hAnsi="楷体" w:eastAsia="楷体"/>
                <w:szCs w:val="21"/>
              </w:rPr>
              <w:t xml:space="preserve">合作商 </w:t>
            </w:r>
            <w:permStart w:id="14" w:edGrp="everyone"/>
            <w:r>
              <w:rPr>
                <w:rFonts w:hint="eastAsia" w:ascii="楷体" w:hAnsi="楷体" w:eastAsia="楷体"/>
                <w:szCs w:val="21"/>
              </w:rPr>
              <w:sym w:font="Wingdings" w:char="F0A8"/>
            </w:r>
            <w:permEnd w:id="14"/>
            <w:r>
              <w:rPr>
                <w:rFonts w:hint="eastAsia" w:ascii="楷体" w:hAnsi="楷体" w:eastAsia="楷体"/>
                <w:szCs w:val="21"/>
              </w:rPr>
              <w:t xml:space="preserve">业务员  </w:t>
            </w:r>
          </w:p>
        </w:tc>
        <w:tc>
          <w:tcPr>
            <w:tcW w:w="1643" w:type="pct"/>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szCs w:val="21"/>
              </w:rPr>
            </w:pPr>
            <w:permStart w:id="15" w:edGrp="everyone"/>
            <w:r>
              <w:rPr>
                <w:rFonts w:ascii="楷体" w:hAnsi="楷体" w:eastAsia="楷体"/>
                <w:szCs w:val="21"/>
              </w:rPr>
              <w:t xml:space="preserve">       </w:t>
            </w:r>
            <w:permEnd w:id="15"/>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restart"/>
            <w:vAlign w:val="center"/>
          </w:tcPr>
          <w:p>
            <w:pPr>
              <w:jc w:val="center"/>
              <w:rPr>
                <w:rFonts w:ascii="楷体" w:hAnsi="楷体" w:eastAsia="楷体"/>
                <w:szCs w:val="21"/>
              </w:rPr>
            </w:pPr>
            <w:r>
              <w:rPr>
                <w:rFonts w:hint="eastAsia" w:ascii="楷体" w:hAnsi="楷体" w:eastAsia="楷体"/>
                <w:szCs w:val="21"/>
              </w:rPr>
              <w:t>产品</w:t>
            </w:r>
          </w:p>
          <w:p>
            <w:pPr>
              <w:jc w:val="center"/>
              <w:rPr>
                <w:rFonts w:ascii="楷体" w:hAnsi="楷体" w:eastAsia="楷体"/>
                <w:szCs w:val="21"/>
              </w:rPr>
            </w:pPr>
            <w:r>
              <w:rPr>
                <w:rFonts w:hint="eastAsia" w:ascii="楷体" w:hAnsi="楷体" w:eastAsia="楷体"/>
                <w:szCs w:val="21"/>
              </w:rPr>
              <w:t>信息</w:t>
            </w:r>
          </w:p>
          <w:p>
            <w:pPr>
              <w:jc w:val="center"/>
              <w:rPr>
                <w:rFonts w:ascii="楷体" w:hAnsi="楷体" w:eastAsia="楷体"/>
                <w:szCs w:val="21"/>
              </w:rPr>
            </w:pPr>
            <w:r>
              <w:rPr>
                <w:rFonts w:hint="eastAsia" w:ascii="楷体" w:hAnsi="楷体" w:eastAsia="楷体"/>
                <w:szCs w:val="21"/>
              </w:rPr>
              <w:t>登记</w:t>
            </w:r>
          </w:p>
          <w:p>
            <w:pPr>
              <w:jc w:val="center"/>
              <w:rPr>
                <w:rFonts w:ascii="楷体" w:hAnsi="楷体" w:eastAsia="楷体"/>
                <w:szCs w:val="21"/>
              </w:rPr>
            </w:pPr>
            <w:r>
              <w:rPr>
                <w:rFonts w:hint="eastAsia" w:ascii="楷体" w:hAnsi="楷体" w:eastAsia="楷体"/>
                <w:szCs w:val="21"/>
              </w:rPr>
              <w:t>表</w:t>
            </w:r>
          </w:p>
        </w:tc>
        <w:tc>
          <w:tcPr>
            <w:tcW w:w="486" w:type="pct"/>
            <w:vMerge w:val="restart"/>
            <w:vAlign w:val="center"/>
          </w:tcPr>
          <w:p>
            <w:pPr>
              <w:jc w:val="center"/>
              <w:rPr>
                <w:rFonts w:ascii="楷体" w:hAnsi="楷体" w:eastAsia="楷体"/>
                <w:szCs w:val="21"/>
              </w:rPr>
            </w:pPr>
            <w:r>
              <w:rPr>
                <w:rFonts w:ascii="楷体" w:hAnsi="楷体" w:eastAsia="楷体"/>
                <w:szCs w:val="21"/>
              </w:rPr>
              <w:t>银行卡收单</w:t>
            </w:r>
          </w:p>
        </w:tc>
        <w:tc>
          <w:tcPr>
            <w:tcW w:w="468" w:type="pct"/>
            <w:vMerge w:val="restart"/>
            <w:vAlign w:val="center"/>
          </w:tcPr>
          <w:p>
            <w:pPr>
              <w:jc w:val="center"/>
              <w:rPr>
                <w:rFonts w:ascii="楷体" w:hAnsi="楷体" w:eastAsia="楷体"/>
                <w:szCs w:val="21"/>
              </w:rPr>
            </w:pPr>
            <w:r>
              <w:rPr>
                <w:rFonts w:hint="eastAsia" w:ascii="楷体" w:hAnsi="楷体" w:eastAsia="楷体"/>
                <w:szCs w:val="21"/>
              </w:rPr>
              <w:t>常规</w:t>
            </w:r>
          </w:p>
          <w:p>
            <w:pPr>
              <w:jc w:val="center"/>
              <w:rPr>
                <w:rFonts w:ascii="楷体" w:hAnsi="楷体" w:eastAsia="楷体"/>
                <w:szCs w:val="21"/>
              </w:rPr>
            </w:pPr>
            <w:r>
              <w:rPr>
                <w:rFonts w:hint="eastAsia" w:ascii="楷体" w:hAnsi="楷体" w:eastAsia="楷体"/>
                <w:szCs w:val="21"/>
              </w:rPr>
              <w:t>业务</w:t>
            </w:r>
          </w:p>
        </w:tc>
        <w:tc>
          <w:tcPr>
            <w:tcW w:w="693" w:type="pct"/>
            <w:gridSpan w:val="2"/>
            <w:vAlign w:val="center"/>
          </w:tcPr>
          <w:p>
            <w:pPr>
              <w:jc w:val="left"/>
              <w:rPr>
                <w:rFonts w:ascii="楷体" w:hAnsi="楷体" w:eastAsia="楷体"/>
                <w:szCs w:val="21"/>
              </w:rPr>
            </w:pPr>
            <w:r>
              <w:rPr>
                <w:rFonts w:hint="eastAsia" w:ascii="楷体" w:hAnsi="楷体" w:eastAsia="楷体"/>
                <w:szCs w:val="21"/>
              </w:rPr>
              <w:t>银行卡支付</w:t>
            </w:r>
          </w:p>
        </w:tc>
        <w:tc>
          <w:tcPr>
            <w:tcW w:w="1512" w:type="pct"/>
            <w:gridSpan w:val="3"/>
            <w:tcBorders>
              <w:top w:val="single" w:color="auto" w:sz="4" w:space="0"/>
              <w:right w:val="single" w:color="auto" w:sz="4" w:space="0"/>
            </w:tcBorders>
            <w:vAlign w:val="center"/>
          </w:tcPr>
          <w:p>
            <w:pPr>
              <w:rPr>
                <w:rFonts w:ascii="楷体" w:hAnsi="楷体" w:eastAsia="楷体"/>
                <w:color w:val="FF0000"/>
                <w:szCs w:val="21"/>
              </w:rPr>
            </w:pPr>
            <w:permStart w:id="16" w:edGrp="everyone"/>
            <w:r>
              <w:rPr>
                <w:rFonts w:hint="eastAsia" w:ascii="楷体_GB2312" w:hAnsi="Times New Roman" w:eastAsia="楷体_GB2312" w:cs="Times New Roman"/>
                <w:szCs w:val="21"/>
              </w:rPr>
              <w:sym w:font="Wingdings" w:char="F06F"/>
            </w:r>
            <w:permEnd w:id="16"/>
            <w:r>
              <w:rPr>
                <w:rFonts w:hint="eastAsia" w:ascii="楷体" w:hAnsi="楷体" w:eastAsia="楷体"/>
                <w:szCs w:val="21"/>
              </w:rPr>
              <w:t>贷记卡</w:t>
            </w:r>
            <w:permStart w:id="17" w:edGrp="everyone"/>
            <w:r>
              <w:rPr>
                <w:rFonts w:ascii="楷体" w:hAnsi="楷体" w:eastAsia="楷体"/>
                <w:szCs w:val="21"/>
                <w:u w:val="single"/>
              </w:rPr>
              <w:t xml:space="preserve"> </w:t>
            </w:r>
            <w:r>
              <w:rPr>
                <w:rFonts w:hint="eastAsia" w:ascii="楷体" w:hAnsi="楷体" w:eastAsia="楷体"/>
                <w:szCs w:val="21"/>
                <w:u w:val="single"/>
                <w:lang w:val="en-US" w:eastAsia="zh-CN"/>
              </w:rPr>
              <w:t>0.6</w:t>
            </w:r>
            <w:r>
              <w:rPr>
                <w:rFonts w:ascii="楷体" w:hAnsi="楷体" w:eastAsia="楷体"/>
                <w:szCs w:val="21"/>
                <w:u w:val="single"/>
              </w:rPr>
              <w:t xml:space="preserve"> </w:t>
            </w:r>
            <w:r>
              <w:rPr>
                <w:rFonts w:hint="eastAsia" w:ascii="楷体" w:hAnsi="楷体" w:eastAsia="楷体"/>
                <w:szCs w:val="21"/>
                <w:u w:val="single"/>
              </w:rPr>
              <w:t>%</w:t>
            </w:r>
            <w:permEnd w:id="17"/>
          </w:p>
        </w:tc>
        <w:tc>
          <w:tcPr>
            <w:tcW w:w="1643" w:type="pct"/>
            <w:tcBorders>
              <w:top w:val="single" w:color="auto" w:sz="4" w:space="0"/>
              <w:left w:val="single" w:color="auto" w:sz="4" w:space="0"/>
            </w:tcBorders>
            <w:vAlign w:val="center"/>
          </w:tcPr>
          <w:p>
            <w:pPr>
              <w:rPr>
                <w:rFonts w:ascii="楷体" w:hAnsi="楷体" w:eastAsia="楷体"/>
                <w:color w:val="FF0000"/>
                <w:szCs w:val="21"/>
              </w:rPr>
            </w:pPr>
            <w:permStart w:id="18" w:edGrp="everyone"/>
            <w:r>
              <w:rPr>
                <w:rFonts w:hint="eastAsia" w:ascii="楷体_GB2312" w:hAnsi="Times New Roman" w:eastAsia="楷体_GB2312" w:cs="Times New Roman"/>
                <w:szCs w:val="21"/>
              </w:rPr>
              <w:sym w:font="Wingdings" w:char="F06F"/>
            </w:r>
            <w:permEnd w:id="18"/>
            <w:r>
              <w:rPr>
                <w:rFonts w:hint="eastAsia" w:ascii="楷体" w:hAnsi="楷体" w:eastAsia="楷体"/>
                <w:szCs w:val="21"/>
              </w:rPr>
              <w:t>借记卡</w:t>
            </w:r>
            <w:permStart w:id="19" w:edGrp="everyone"/>
            <w:r>
              <w:rPr>
                <w:rFonts w:ascii="楷体" w:hAnsi="楷体" w:eastAsia="楷体"/>
                <w:szCs w:val="21"/>
                <w:u w:val="single"/>
              </w:rPr>
              <w:t xml:space="preserve">  </w:t>
            </w:r>
            <w:r>
              <w:rPr>
                <w:rFonts w:hint="eastAsia" w:ascii="楷体" w:hAnsi="楷体" w:eastAsia="楷体"/>
                <w:szCs w:val="21"/>
                <w:u w:val="single"/>
                <w:lang w:val="en-US" w:eastAsia="zh-CN"/>
              </w:rPr>
              <w:t>0.5</w:t>
            </w:r>
            <w:r>
              <w:rPr>
                <w:rFonts w:ascii="楷体" w:hAnsi="楷体" w:eastAsia="楷体"/>
                <w:szCs w:val="21"/>
                <w:u w:val="single"/>
              </w:rPr>
              <w:t xml:space="preserve"> </w:t>
            </w:r>
            <w:r>
              <w:rPr>
                <w:rFonts w:hint="eastAsia" w:ascii="楷体" w:hAnsi="楷体" w:eastAsia="楷体"/>
                <w:szCs w:val="21"/>
                <w:u w:val="single"/>
              </w:rPr>
              <w:t>%</w:t>
            </w:r>
            <w:permEnd w:id="19"/>
            <w:r>
              <w:rPr>
                <w:rFonts w:hint="eastAsia" w:ascii="楷体" w:hAnsi="楷体" w:eastAsia="楷体"/>
                <w:szCs w:val="21"/>
              </w:rPr>
              <w:t>（每笔</w:t>
            </w:r>
            <w:permStart w:id="20" w:edGrp="everyone"/>
            <w:r>
              <w:rPr>
                <w:rFonts w:ascii="楷体" w:hAnsi="楷体" w:eastAsia="楷体"/>
                <w:szCs w:val="21"/>
                <w:u w:val="single"/>
              </w:rPr>
              <w:t xml:space="preserve"> </w:t>
            </w:r>
            <w:r>
              <w:rPr>
                <w:rFonts w:hint="eastAsia" w:ascii="楷体" w:hAnsi="楷体" w:eastAsia="楷体"/>
                <w:szCs w:val="21"/>
                <w:u w:val="single"/>
                <w:lang w:val="en-US" w:eastAsia="zh-CN"/>
              </w:rPr>
              <w:t>21</w:t>
            </w:r>
            <w:r>
              <w:rPr>
                <w:rFonts w:ascii="楷体" w:hAnsi="楷体" w:eastAsia="楷体"/>
                <w:szCs w:val="21"/>
                <w:u w:val="single"/>
              </w:rPr>
              <w:t xml:space="preserve"> </w:t>
            </w:r>
            <w:permEnd w:id="20"/>
            <w:r>
              <w:rPr>
                <w:rFonts w:hint="eastAsia" w:ascii="楷体" w:hAnsi="楷体" w:eastAsia="楷体"/>
                <w:szCs w:val="21"/>
              </w:rPr>
              <w:t>元封顶）</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35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vAlign w:val="center"/>
          </w:tcPr>
          <w:p>
            <w:pPr>
              <w:jc w:val="center"/>
              <w:rPr>
                <w:rFonts w:ascii="楷体" w:hAnsi="楷体" w:eastAsia="楷体"/>
                <w:szCs w:val="21"/>
                <w:u w:val="single"/>
              </w:rPr>
            </w:pPr>
          </w:p>
        </w:tc>
        <w:tc>
          <w:tcPr>
            <w:tcW w:w="693" w:type="pct"/>
            <w:gridSpan w:val="2"/>
            <w:vMerge w:val="restart"/>
            <w:tcBorders>
              <w:right w:val="single" w:color="auto" w:sz="4" w:space="0"/>
            </w:tcBorders>
            <w:vAlign w:val="center"/>
          </w:tcPr>
          <w:p>
            <w:pPr>
              <w:jc w:val="left"/>
              <w:rPr>
                <w:rFonts w:ascii="楷体" w:hAnsi="楷体" w:eastAsia="楷体"/>
                <w:szCs w:val="21"/>
                <w:u w:val="single"/>
              </w:rPr>
            </w:pPr>
            <w:r>
              <w:rPr>
                <w:rFonts w:hint="eastAsia" w:ascii="楷体" w:hAnsi="楷体" w:eastAsia="楷体"/>
                <w:szCs w:val="21"/>
              </w:rPr>
              <w:t>条码支付*</w:t>
            </w:r>
          </w:p>
        </w:tc>
        <w:tc>
          <w:tcPr>
            <w:tcW w:w="1512" w:type="pct"/>
            <w:gridSpan w:val="3"/>
            <w:tcBorders>
              <w:left w:val="single" w:color="auto" w:sz="4" w:space="0"/>
            </w:tcBorders>
            <w:vAlign w:val="center"/>
          </w:tcPr>
          <w:p>
            <w:pPr>
              <w:rPr>
                <w:rFonts w:ascii="楷体" w:hAnsi="楷体" w:eastAsia="楷体"/>
                <w:szCs w:val="21"/>
                <w:u w:val="single"/>
              </w:rPr>
            </w:pPr>
            <w:permStart w:id="21" w:edGrp="everyone"/>
            <w:r>
              <w:rPr>
                <w:rFonts w:hint="eastAsia" w:ascii="楷体_GB2312" w:hAnsi="Times New Roman" w:eastAsia="楷体_GB2312" w:cs="Times New Roman"/>
                <w:szCs w:val="21"/>
              </w:rPr>
              <w:sym w:font="Wingdings" w:char="F06F"/>
            </w:r>
            <w:permEnd w:id="21"/>
            <w:r>
              <w:rPr>
                <w:rFonts w:hint="eastAsia" w:ascii="楷体" w:hAnsi="楷体" w:eastAsia="楷体"/>
                <w:szCs w:val="21"/>
              </w:rPr>
              <w:t>银联贷记卡小额交易</w:t>
            </w:r>
            <w:permStart w:id="22" w:edGrp="everyone"/>
            <w:r>
              <w:rPr>
                <w:rFonts w:ascii="楷体" w:hAnsi="楷体" w:eastAsia="楷体"/>
                <w:szCs w:val="21"/>
                <w:u w:val="single"/>
              </w:rPr>
              <w:t xml:space="preserve">   </w:t>
            </w:r>
            <w:r>
              <w:rPr>
                <w:rFonts w:hint="eastAsia" w:ascii="楷体" w:hAnsi="楷体" w:eastAsia="楷体"/>
                <w:szCs w:val="21"/>
                <w:u w:val="single"/>
              </w:rPr>
              <w:t>%</w:t>
            </w:r>
            <w:permEnd w:id="22"/>
          </w:p>
        </w:tc>
        <w:tc>
          <w:tcPr>
            <w:tcW w:w="1643" w:type="pct"/>
            <w:tcBorders>
              <w:left w:val="single" w:color="auto" w:sz="4" w:space="0"/>
            </w:tcBorders>
            <w:vAlign w:val="center"/>
          </w:tcPr>
          <w:p>
            <w:pPr>
              <w:rPr>
                <w:rFonts w:ascii="楷体" w:hAnsi="楷体" w:eastAsia="楷体"/>
                <w:szCs w:val="21"/>
                <w:u w:val="single"/>
              </w:rPr>
            </w:pPr>
            <w:permStart w:id="23" w:edGrp="everyone"/>
            <w:r>
              <w:rPr>
                <w:rFonts w:hint="eastAsia" w:ascii="楷体_GB2312" w:hAnsi="Times New Roman" w:eastAsia="楷体_GB2312" w:cs="Times New Roman"/>
                <w:szCs w:val="21"/>
              </w:rPr>
              <w:sym w:font="Wingdings" w:char="F06F"/>
            </w:r>
            <w:permEnd w:id="23"/>
            <w:r>
              <w:rPr>
                <w:rFonts w:hint="eastAsia" w:ascii="楷体" w:hAnsi="楷体" w:eastAsia="楷体"/>
                <w:szCs w:val="21"/>
              </w:rPr>
              <w:t>银联贷记卡大额交易</w:t>
            </w:r>
            <w:permStart w:id="24" w:edGrp="everyone"/>
            <w:r>
              <w:rPr>
                <w:rFonts w:ascii="楷体" w:hAnsi="楷体" w:eastAsia="楷体"/>
                <w:szCs w:val="21"/>
                <w:u w:val="single"/>
              </w:rPr>
              <w:t xml:space="preserve">     </w:t>
            </w:r>
            <w:r>
              <w:rPr>
                <w:rFonts w:hint="eastAsia" w:ascii="楷体" w:hAnsi="楷体" w:eastAsia="楷体"/>
                <w:szCs w:val="21"/>
                <w:u w:val="single"/>
              </w:rPr>
              <w:t>%</w:t>
            </w:r>
            <w:permEnd w:id="24"/>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351"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vAlign w:val="center"/>
          </w:tcPr>
          <w:p>
            <w:pPr>
              <w:jc w:val="center"/>
              <w:rPr>
                <w:rFonts w:ascii="楷体" w:hAnsi="楷体" w:eastAsia="楷体"/>
                <w:szCs w:val="21"/>
                <w:u w:val="single"/>
              </w:rPr>
            </w:pPr>
          </w:p>
        </w:tc>
        <w:tc>
          <w:tcPr>
            <w:tcW w:w="693" w:type="pct"/>
            <w:gridSpan w:val="2"/>
            <w:vMerge w:val="continue"/>
            <w:tcBorders>
              <w:right w:val="single" w:color="auto" w:sz="4" w:space="0"/>
            </w:tcBorders>
            <w:vAlign w:val="center"/>
          </w:tcPr>
          <w:p>
            <w:pPr>
              <w:jc w:val="left"/>
              <w:rPr>
                <w:rFonts w:ascii="楷体" w:hAnsi="楷体" w:eastAsia="楷体"/>
                <w:szCs w:val="21"/>
              </w:rPr>
            </w:pPr>
          </w:p>
        </w:tc>
        <w:tc>
          <w:tcPr>
            <w:tcW w:w="1512" w:type="pct"/>
            <w:gridSpan w:val="3"/>
            <w:tcBorders>
              <w:left w:val="single" w:color="auto" w:sz="4" w:space="0"/>
            </w:tcBorders>
            <w:vAlign w:val="center"/>
          </w:tcPr>
          <w:p>
            <w:pPr>
              <w:rPr>
                <w:rFonts w:ascii="楷体_GB2312" w:hAnsi="Times New Roman" w:eastAsia="楷体_GB2312" w:cs="Times New Roman"/>
                <w:szCs w:val="21"/>
              </w:rPr>
            </w:pPr>
            <w:permStart w:id="25" w:edGrp="everyone"/>
            <w:r>
              <w:rPr>
                <w:rFonts w:hint="eastAsia" w:ascii="楷体_GB2312" w:hAnsi="Times New Roman" w:eastAsia="楷体_GB2312" w:cs="Times New Roman"/>
                <w:szCs w:val="21"/>
              </w:rPr>
              <w:sym w:font="Wingdings" w:char="F06F"/>
            </w:r>
            <w:permEnd w:id="25"/>
            <w:r>
              <w:rPr>
                <w:rFonts w:hint="eastAsia" w:ascii="楷体" w:hAnsi="楷体" w:eastAsia="楷体"/>
                <w:szCs w:val="21"/>
              </w:rPr>
              <w:t>银联借记卡小额交易</w:t>
            </w:r>
            <w:permStart w:id="26" w:edGrp="everyone"/>
            <w:r>
              <w:rPr>
                <w:rFonts w:ascii="楷体" w:hAnsi="楷体" w:eastAsia="楷体"/>
                <w:szCs w:val="21"/>
                <w:u w:val="single"/>
              </w:rPr>
              <w:t xml:space="preserve">   </w:t>
            </w:r>
            <w:r>
              <w:rPr>
                <w:rFonts w:hint="eastAsia" w:ascii="楷体" w:hAnsi="楷体" w:eastAsia="楷体"/>
                <w:szCs w:val="21"/>
                <w:u w:val="single"/>
              </w:rPr>
              <w:t>%</w:t>
            </w:r>
            <w:permEnd w:id="26"/>
          </w:p>
        </w:tc>
        <w:tc>
          <w:tcPr>
            <w:tcW w:w="1643" w:type="pct"/>
            <w:tcBorders>
              <w:left w:val="single" w:color="auto" w:sz="4" w:space="0"/>
            </w:tcBorders>
            <w:vAlign w:val="center"/>
          </w:tcPr>
          <w:p>
            <w:pPr>
              <w:rPr>
                <w:rFonts w:ascii="楷体_GB2312" w:hAnsi="Times New Roman" w:eastAsia="楷体_GB2312" w:cs="Times New Roman"/>
                <w:szCs w:val="21"/>
              </w:rPr>
            </w:pPr>
            <w:permStart w:id="27" w:edGrp="everyone"/>
            <w:r>
              <w:rPr>
                <w:rFonts w:hint="eastAsia" w:ascii="楷体_GB2312" w:hAnsi="Times New Roman" w:eastAsia="楷体_GB2312" w:cs="Times New Roman"/>
                <w:szCs w:val="21"/>
              </w:rPr>
              <w:sym w:font="Wingdings" w:char="F06F"/>
            </w:r>
            <w:permEnd w:id="27"/>
            <w:r>
              <w:rPr>
                <w:rFonts w:hint="eastAsia" w:ascii="楷体" w:hAnsi="楷体" w:eastAsia="楷体"/>
                <w:szCs w:val="21"/>
              </w:rPr>
              <w:t>银联借记卡大额交易</w:t>
            </w:r>
            <w:permStart w:id="28" w:edGrp="everyone"/>
            <w:r>
              <w:rPr>
                <w:rFonts w:ascii="楷体" w:hAnsi="楷体" w:eastAsia="楷体"/>
                <w:szCs w:val="21"/>
                <w:u w:val="single"/>
              </w:rPr>
              <w:t xml:space="preserve">     </w:t>
            </w:r>
            <w:r>
              <w:rPr>
                <w:rFonts w:hint="eastAsia" w:ascii="楷体" w:hAnsi="楷体" w:eastAsia="楷体"/>
                <w:szCs w:val="21"/>
                <w:u w:val="single"/>
              </w:rPr>
              <w:t>%</w:t>
            </w:r>
            <w:permEnd w:id="28"/>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vAlign w:val="center"/>
          </w:tcPr>
          <w:p>
            <w:pPr>
              <w:jc w:val="center"/>
              <w:rPr>
                <w:rFonts w:ascii="楷体" w:hAnsi="楷体" w:eastAsia="楷体"/>
                <w:szCs w:val="21"/>
                <w:u w:val="single"/>
              </w:rPr>
            </w:pPr>
          </w:p>
        </w:tc>
        <w:tc>
          <w:tcPr>
            <w:tcW w:w="693" w:type="pct"/>
            <w:gridSpan w:val="2"/>
            <w:vMerge w:val="continue"/>
            <w:tcBorders>
              <w:right w:val="single" w:color="auto" w:sz="4" w:space="0"/>
            </w:tcBorders>
            <w:vAlign w:val="center"/>
          </w:tcPr>
          <w:p>
            <w:pPr>
              <w:jc w:val="left"/>
              <w:rPr>
                <w:rFonts w:ascii="楷体" w:hAnsi="楷体" w:eastAsia="楷体"/>
                <w:szCs w:val="21"/>
              </w:rPr>
            </w:pPr>
          </w:p>
        </w:tc>
        <w:tc>
          <w:tcPr>
            <w:tcW w:w="1512" w:type="pct"/>
            <w:gridSpan w:val="3"/>
            <w:tcBorders>
              <w:left w:val="single" w:color="auto" w:sz="4" w:space="0"/>
            </w:tcBorders>
            <w:vAlign w:val="center"/>
          </w:tcPr>
          <w:p>
            <w:pPr>
              <w:rPr>
                <w:rFonts w:ascii="楷体_GB2312" w:hAnsi="Times New Roman" w:eastAsia="楷体_GB2312" w:cs="Times New Roman"/>
                <w:szCs w:val="21"/>
              </w:rPr>
            </w:pPr>
            <w:permStart w:id="29" w:edGrp="everyone"/>
            <w:r>
              <w:rPr>
                <w:rFonts w:hint="eastAsia" w:ascii="楷体_GB2312" w:hAnsi="Times New Roman" w:eastAsia="楷体_GB2312" w:cs="Times New Roman"/>
                <w:szCs w:val="21"/>
              </w:rPr>
              <w:sym w:font="Wingdings" w:char="F06F"/>
            </w:r>
            <w:permEnd w:id="29"/>
            <w:r>
              <w:rPr>
                <w:rFonts w:hint="eastAsia" w:ascii="楷体" w:hAnsi="楷体" w:eastAsia="楷体"/>
                <w:szCs w:val="21"/>
              </w:rPr>
              <w:t>微信（普通）</w:t>
            </w:r>
            <w:permStart w:id="30" w:edGrp="everyone"/>
            <w:r>
              <w:rPr>
                <w:rFonts w:ascii="楷体" w:hAnsi="楷体" w:eastAsia="楷体"/>
                <w:szCs w:val="21"/>
                <w:u w:val="single"/>
              </w:rPr>
              <w:t xml:space="preserve"> </w:t>
            </w:r>
            <w:r>
              <w:rPr>
                <w:rFonts w:hint="eastAsia" w:ascii="楷体" w:hAnsi="楷体" w:eastAsia="楷体"/>
                <w:szCs w:val="21"/>
                <w:u w:val="single"/>
                <w:lang w:val="en-US" w:eastAsia="zh-CN"/>
              </w:rPr>
              <w:t>0.38</w:t>
            </w:r>
            <w:r>
              <w:rPr>
                <w:rFonts w:hint="eastAsia" w:ascii="楷体" w:hAnsi="楷体" w:eastAsia="楷体"/>
                <w:szCs w:val="21"/>
                <w:u w:val="single"/>
              </w:rPr>
              <w:t>%</w:t>
            </w:r>
            <w:permEnd w:id="30"/>
          </w:p>
        </w:tc>
        <w:tc>
          <w:tcPr>
            <w:tcW w:w="1643" w:type="pct"/>
            <w:tcBorders>
              <w:left w:val="single" w:color="auto" w:sz="4" w:space="0"/>
            </w:tcBorders>
            <w:vAlign w:val="center"/>
          </w:tcPr>
          <w:p>
            <w:pPr>
              <w:rPr>
                <w:rFonts w:ascii="楷体_GB2312" w:hAnsi="Times New Roman" w:eastAsia="楷体_GB2312" w:cs="Times New Roman"/>
                <w:szCs w:val="21"/>
              </w:rPr>
            </w:pPr>
            <w:permStart w:id="31" w:edGrp="everyone"/>
            <w:r>
              <w:rPr>
                <w:rFonts w:hint="eastAsia" w:ascii="楷体_GB2312" w:hAnsi="Times New Roman" w:eastAsia="楷体_GB2312" w:cs="Times New Roman"/>
                <w:szCs w:val="21"/>
              </w:rPr>
              <w:sym w:font="Wingdings" w:char="F06F"/>
            </w:r>
            <w:permEnd w:id="31"/>
            <w:r>
              <w:rPr>
                <w:rFonts w:hint="eastAsia" w:ascii="楷体" w:hAnsi="楷体" w:eastAsia="楷体"/>
                <w:szCs w:val="21"/>
              </w:rPr>
              <w:t>支付宝</w:t>
            </w:r>
            <w:permStart w:id="32" w:edGrp="everyone"/>
            <w:r>
              <w:rPr>
                <w:rFonts w:ascii="楷体" w:hAnsi="楷体" w:eastAsia="楷体"/>
                <w:szCs w:val="21"/>
                <w:u w:val="single"/>
              </w:rPr>
              <w:t xml:space="preserve"> </w:t>
            </w:r>
            <w:r>
              <w:rPr>
                <w:rFonts w:hint="eastAsia" w:ascii="楷体" w:hAnsi="楷体" w:eastAsia="楷体"/>
                <w:szCs w:val="21"/>
                <w:u w:val="single"/>
                <w:lang w:val="en-US" w:eastAsia="zh-CN"/>
              </w:rPr>
              <w:t>0.38</w:t>
            </w:r>
            <w:r>
              <w:rPr>
                <w:rFonts w:ascii="楷体" w:hAnsi="楷体" w:eastAsia="楷体"/>
                <w:szCs w:val="21"/>
                <w:u w:val="single"/>
              </w:rPr>
              <w:t xml:space="preserve"> </w:t>
            </w:r>
            <w:r>
              <w:rPr>
                <w:rFonts w:hint="eastAsia" w:ascii="楷体" w:hAnsi="楷体" w:eastAsia="楷体"/>
                <w:szCs w:val="21"/>
                <w:u w:val="single"/>
              </w:rPr>
              <w:t>%</w:t>
            </w:r>
            <w:permEnd w:id="32"/>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vAlign w:val="center"/>
          </w:tcPr>
          <w:p>
            <w:pPr>
              <w:jc w:val="center"/>
              <w:rPr>
                <w:rFonts w:ascii="楷体" w:hAnsi="楷体" w:eastAsia="楷体"/>
                <w:szCs w:val="21"/>
                <w:u w:val="single"/>
              </w:rPr>
            </w:pPr>
          </w:p>
        </w:tc>
        <w:tc>
          <w:tcPr>
            <w:tcW w:w="693" w:type="pct"/>
            <w:gridSpan w:val="2"/>
            <w:vMerge w:val="continue"/>
            <w:tcBorders>
              <w:right w:val="single" w:color="auto" w:sz="4" w:space="0"/>
            </w:tcBorders>
            <w:vAlign w:val="center"/>
          </w:tcPr>
          <w:p>
            <w:pPr>
              <w:jc w:val="left"/>
              <w:rPr>
                <w:rFonts w:ascii="楷体" w:hAnsi="楷体" w:eastAsia="楷体"/>
                <w:szCs w:val="21"/>
              </w:rPr>
            </w:pPr>
          </w:p>
        </w:tc>
        <w:tc>
          <w:tcPr>
            <w:tcW w:w="1512" w:type="pct"/>
            <w:gridSpan w:val="3"/>
            <w:tcBorders>
              <w:left w:val="single" w:color="auto" w:sz="4" w:space="0"/>
            </w:tcBorders>
            <w:vAlign w:val="center"/>
          </w:tcPr>
          <w:p>
            <w:pPr>
              <w:rPr>
                <w:rFonts w:ascii="楷体_GB2312" w:hAnsi="Times New Roman" w:eastAsia="楷体_GB2312" w:cs="Times New Roman"/>
                <w:szCs w:val="21"/>
              </w:rPr>
            </w:pPr>
            <w:permStart w:id="33" w:edGrp="everyone"/>
            <w:r>
              <w:rPr>
                <w:rFonts w:hint="eastAsia" w:ascii="楷体_GB2312" w:hAnsi="Times New Roman" w:eastAsia="楷体_GB2312" w:cs="Times New Roman"/>
                <w:szCs w:val="21"/>
              </w:rPr>
              <w:sym w:font="Wingdings" w:char="F06F"/>
            </w:r>
            <w:permEnd w:id="33"/>
            <w:r>
              <w:rPr>
                <w:rFonts w:hint="eastAsia" w:ascii="楷体" w:hAnsi="楷体" w:eastAsia="楷体"/>
                <w:szCs w:val="21"/>
              </w:rPr>
              <w:t>微信（教培）</w:t>
            </w:r>
            <w:permStart w:id="34" w:edGrp="everyone"/>
            <w:r>
              <w:rPr>
                <w:rFonts w:ascii="楷体" w:hAnsi="楷体" w:eastAsia="楷体"/>
                <w:szCs w:val="21"/>
                <w:u w:val="single"/>
              </w:rPr>
              <w:t xml:space="preserve">     </w:t>
            </w:r>
            <w:r>
              <w:rPr>
                <w:rFonts w:hint="eastAsia" w:ascii="楷体" w:hAnsi="楷体" w:eastAsia="楷体"/>
                <w:szCs w:val="21"/>
                <w:u w:val="single"/>
              </w:rPr>
              <w:t>%</w:t>
            </w:r>
            <w:permEnd w:id="34"/>
          </w:p>
        </w:tc>
        <w:tc>
          <w:tcPr>
            <w:tcW w:w="1643" w:type="pct"/>
            <w:tcBorders>
              <w:left w:val="single" w:color="auto" w:sz="4" w:space="0"/>
            </w:tcBorders>
            <w:vAlign w:val="center"/>
          </w:tcPr>
          <w:p>
            <w:pPr>
              <w:rPr>
                <w:rFonts w:ascii="楷体_GB2312" w:hAnsi="Times New Roman" w:eastAsia="楷体_GB2312" w:cs="Times New Roman"/>
                <w:szCs w:val="21"/>
              </w:rPr>
            </w:pPr>
            <w:permStart w:id="35" w:edGrp="everyone"/>
            <w:r>
              <w:rPr>
                <w:rFonts w:hint="eastAsia" w:ascii="楷体_GB2312" w:hAnsi="Times New Roman" w:eastAsia="楷体_GB2312" w:cs="Times New Roman"/>
                <w:szCs w:val="21"/>
              </w:rPr>
              <w:sym w:font="Wingdings" w:char="F06F"/>
            </w:r>
            <w:permEnd w:id="35"/>
            <w:r>
              <w:rPr>
                <w:rFonts w:hint="eastAsia" w:ascii="楷体" w:hAnsi="楷体" w:eastAsia="楷体"/>
                <w:szCs w:val="21"/>
              </w:rPr>
              <w:t>微信（校园食堂）</w:t>
            </w:r>
            <w:permStart w:id="36" w:edGrp="everyone"/>
            <w:r>
              <w:rPr>
                <w:rFonts w:ascii="楷体" w:hAnsi="楷体" w:eastAsia="楷体"/>
                <w:szCs w:val="21"/>
                <w:u w:val="single"/>
              </w:rPr>
              <w:t xml:space="preserve">     </w:t>
            </w:r>
            <w:r>
              <w:rPr>
                <w:rFonts w:hint="eastAsia" w:ascii="楷体" w:hAnsi="楷体" w:eastAsia="楷体"/>
                <w:szCs w:val="21"/>
                <w:u w:val="single"/>
              </w:rPr>
              <w:t>%</w:t>
            </w:r>
            <w:permEnd w:id="36"/>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vAlign w:val="center"/>
          </w:tcPr>
          <w:p>
            <w:pPr>
              <w:jc w:val="center"/>
              <w:rPr>
                <w:rFonts w:ascii="楷体" w:hAnsi="楷体" w:eastAsia="楷体"/>
                <w:szCs w:val="21"/>
                <w:u w:val="single"/>
              </w:rPr>
            </w:pPr>
          </w:p>
        </w:tc>
        <w:tc>
          <w:tcPr>
            <w:tcW w:w="693" w:type="pct"/>
            <w:gridSpan w:val="2"/>
            <w:vMerge w:val="continue"/>
            <w:tcBorders>
              <w:right w:val="single" w:color="auto" w:sz="4" w:space="0"/>
            </w:tcBorders>
            <w:vAlign w:val="center"/>
          </w:tcPr>
          <w:p>
            <w:pPr>
              <w:jc w:val="left"/>
              <w:rPr>
                <w:rFonts w:ascii="楷体" w:hAnsi="楷体" w:eastAsia="楷体"/>
                <w:szCs w:val="21"/>
              </w:rPr>
            </w:pPr>
          </w:p>
        </w:tc>
        <w:tc>
          <w:tcPr>
            <w:tcW w:w="1512" w:type="pct"/>
            <w:gridSpan w:val="3"/>
            <w:tcBorders>
              <w:left w:val="single" w:color="auto" w:sz="4" w:space="0"/>
            </w:tcBorders>
            <w:vAlign w:val="center"/>
          </w:tcPr>
          <w:p>
            <w:pPr>
              <w:rPr>
                <w:rFonts w:ascii="楷体_GB2312" w:hAnsi="Times New Roman" w:eastAsia="楷体_GB2312" w:cs="Times New Roman"/>
                <w:szCs w:val="21"/>
              </w:rPr>
            </w:pPr>
            <w:permStart w:id="37" w:edGrp="everyone"/>
            <w:r>
              <w:rPr>
                <w:rFonts w:hint="eastAsia" w:ascii="楷体_GB2312" w:hAnsi="Times New Roman" w:eastAsia="楷体_GB2312" w:cs="Times New Roman"/>
                <w:szCs w:val="21"/>
              </w:rPr>
              <w:sym w:font="Wingdings" w:char="F06F"/>
            </w:r>
            <w:permEnd w:id="37"/>
            <w:r>
              <w:rPr>
                <w:rFonts w:hint="eastAsia" w:ascii="楷体" w:hAnsi="楷体" w:eastAsia="楷体"/>
                <w:szCs w:val="21"/>
              </w:rPr>
              <w:t>微信（公办学校）</w:t>
            </w:r>
            <w:permStart w:id="38" w:edGrp="everyone"/>
            <w:r>
              <w:rPr>
                <w:rFonts w:ascii="楷体" w:hAnsi="楷体" w:eastAsia="楷体"/>
                <w:szCs w:val="21"/>
                <w:u w:val="single"/>
              </w:rPr>
              <w:t xml:space="preserve">     </w:t>
            </w:r>
            <w:r>
              <w:rPr>
                <w:rFonts w:hint="eastAsia" w:ascii="楷体" w:hAnsi="楷体" w:eastAsia="楷体"/>
                <w:szCs w:val="21"/>
                <w:u w:val="single"/>
              </w:rPr>
              <w:t>%</w:t>
            </w:r>
            <w:permEnd w:id="38"/>
          </w:p>
        </w:tc>
        <w:tc>
          <w:tcPr>
            <w:tcW w:w="1643" w:type="pct"/>
            <w:tcBorders>
              <w:left w:val="single" w:color="auto" w:sz="4" w:space="0"/>
            </w:tcBorders>
            <w:vAlign w:val="center"/>
          </w:tcPr>
          <w:p>
            <w:pPr>
              <w:rPr>
                <w:rFonts w:ascii="楷体_GB2312" w:hAnsi="Times New Roman" w:eastAsia="楷体_GB2312" w:cs="Times New Roman"/>
                <w:szCs w:val="21"/>
              </w:rPr>
            </w:pPr>
            <w:permStart w:id="39" w:edGrp="everyone"/>
            <w:r>
              <w:rPr>
                <w:rFonts w:hint="eastAsia" w:ascii="楷体_GB2312" w:hAnsi="Times New Roman" w:eastAsia="楷体_GB2312" w:cs="Times New Roman"/>
                <w:szCs w:val="21"/>
              </w:rPr>
              <w:sym w:font="Wingdings" w:char="F06F"/>
            </w:r>
            <w:permEnd w:id="39"/>
            <w:r>
              <w:rPr>
                <w:rFonts w:hint="eastAsia" w:ascii="楷体" w:hAnsi="楷体" w:eastAsia="楷体"/>
                <w:szCs w:val="21"/>
              </w:rPr>
              <w:t>微信（民办学校）</w:t>
            </w:r>
            <w:permStart w:id="40" w:edGrp="everyone"/>
            <w:r>
              <w:rPr>
                <w:rFonts w:ascii="楷体" w:hAnsi="楷体" w:eastAsia="楷体"/>
                <w:szCs w:val="21"/>
                <w:u w:val="single"/>
              </w:rPr>
              <w:t xml:space="preserve">     </w:t>
            </w:r>
            <w:r>
              <w:rPr>
                <w:rFonts w:hint="eastAsia" w:ascii="楷体" w:hAnsi="楷体" w:eastAsia="楷体"/>
                <w:szCs w:val="21"/>
                <w:u w:val="single"/>
              </w:rPr>
              <w:t>%</w:t>
            </w:r>
            <w:permEnd w:id="40"/>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restart"/>
            <w:tcBorders>
              <w:right w:val="single" w:color="auto" w:sz="4" w:space="0"/>
            </w:tcBorders>
            <w:vAlign w:val="center"/>
          </w:tcPr>
          <w:p>
            <w:pPr>
              <w:jc w:val="center"/>
              <w:rPr>
                <w:rFonts w:ascii="楷体" w:hAnsi="楷体" w:eastAsia="楷体"/>
                <w:szCs w:val="21"/>
              </w:rPr>
            </w:pPr>
            <w:r>
              <w:rPr>
                <w:rFonts w:ascii="楷体" w:hAnsi="楷体" w:eastAsia="楷体"/>
                <w:szCs w:val="21"/>
              </w:rPr>
              <w:t>增值</w:t>
            </w:r>
          </w:p>
          <w:p>
            <w:pPr>
              <w:jc w:val="center"/>
              <w:rPr>
                <w:rFonts w:ascii="楷体" w:hAnsi="楷体" w:eastAsia="楷体"/>
                <w:szCs w:val="21"/>
              </w:rPr>
            </w:pPr>
            <w:r>
              <w:rPr>
                <w:rFonts w:hint="eastAsia" w:ascii="楷体" w:hAnsi="楷体" w:eastAsia="楷体"/>
                <w:szCs w:val="21"/>
              </w:rPr>
              <w:t>业务</w:t>
            </w:r>
          </w:p>
        </w:tc>
        <w:tc>
          <w:tcPr>
            <w:tcW w:w="349" w:type="pct"/>
            <w:vMerge w:val="restart"/>
            <w:tcBorders>
              <w:right w:val="single" w:color="auto" w:sz="4" w:space="0"/>
            </w:tcBorders>
            <w:vAlign w:val="center"/>
          </w:tcPr>
          <w:p>
            <w:pPr>
              <w:rPr>
                <w:rFonts w:ascii="楷体_GB2312" w:hAnsi="Times New Roman" w:eastAsia="楷体_GB2312" w:cs="Times New Roman"/>
                <w:szCs w:val="21"/>
              </w:rPr>
            </w:pPr>
            <w:r>
              <w:rPr>
                <w:rFonts w:hint="eastAsia" w:ascii="楷体_GB2312" w:hAnsi="Times New Roman" w:eastAsia="楷体_GB2312" w:cs="Times New Roman"/>
                <w:szCs w:val="21"/>
              </w:rPr>
              <w:t>快速</w:t>
            </w:r>
          </w:p>
          <w:p>
            <w:pPr>
              <w:rPr>
                <w:rFonts w:ascii="楷体" w:hAnsi="楷体" w:eastAsia="楷体"/>
                <w:szCs w:val="21"/>
              </w:rPr>
            </w:pPr>
            <w:r>
              <w:rPr>
                <w:rFonts w:ascii="楷体_GB2312" w:hAnsi="Times New Roman" w:eastAsia="楷体_GB2312" w:cs="Times New Roman"/>
                <w:szCs w:val="21"/>
              </w:rPr>
              <w:t>结算</w:t>
            </w:r>
          </w:p>
        </w:tc>
        <w:tc>
          <w:tcPr>
            <w:tcW w:w="1856" w:type="pct"/>
            <w:gridSpan w:val="4"/>
            <w:tcBorders>
              <w:right w:val="single" w:color="auto" w:sz="4" w:space="0"/>
            </w:tcBorders>
            <w:vAlign w:val="center"/>
          </w:tcPr>
          <w:p>
            <w:pPr>
              <w:rPr>
                <w:rFonts w:ascii="楷体" w:hAnsi="楷体" w:eastAsia="楷体"/>
                <w:szCs w:val="21"/>
              </w:rPr>
            </w:pPr>
            <w:permStart w:id="41" w:edGrp="everyone"/>
            <w:r>
              <w:rPr>
                <w:rFonts w:hint="eastAsia" w:ascii="楷体_GB2312" w:hAnsi="Times New Roman" w:eastAsia="楷体_GB2312" w:cs="Times New Roman"/>
                <w:szCs w:val="21"/>
              </w:rPr>
              <w:sym w:font="Wingdings" w:char="F06F"/>
            </w:r>
            <w:permEnd w:id="41"/>
            <w:r>
              <w:rPr>
                <w:rFonts w:hint="eastAsia" w:ascii="楷体" w:hAnsi="楷体" w:eastAsia="楷体"/>
                <w:szCs w:val="21"/>
              </w:rPr>
              <w:t>D+0日</w:t>
            </w:r>
            <w:permStart w:id="42" w:edGrp="everyone"/>
            <w:r>
              <w:rPr>
                <w:rFonts w:ascii="楷体" w:hAnsi="楷体" w:eastAsia="楷体"/>
                <w:szCs w:val="21"/>
                <w:u w:val="single"/>
              </w:rPr>
              <w:t xml:space="preserve">     </w:t>
            </w:r>
            <w:r>
              <w:rPr>
                <w:rFonts w:hint="eastAsia" w:ascii="楷体" w:hAnsi="楷体" w:eastAsia="楷体"/>
                <w:szCs w:val="21"/>
                <w:u w:val="single"/>
              </w:rPr>
              <w:t>%</w:t>
            </w:r>
            <w:permEnd w:id="42"/>
          </w:p>
        </w:tc>
        <w:tc>
          <w:tcPr>
            <w:tcW w:w="1643" w:type="pct"/>
            <w:tcBorders>
              <w:left w:val="single" w:color="auto" w:sz="4" w:space="0"/>
            </w:tcBorders>
            <w:vAlign w:val="center"/>
          </w:tcPr>
          <w:p>
            <w:pPr>
              <w:rPr>
                <w:rFonts w:ascii="楷体_GB2312" w:hAnsi="Times New Roman" w:eastAsia="楷体_GB2312" w:cs="Times New Roman"/>
                <w:szCs w:val="21"/>
              </w:rPr>
            </w:pPr>
            <w:permStart w:id="43" w:edGrp="everyone"/>
            <w:r>
              <w:rPr>
                <w:rFonts w:hint="eastAsia" w:ascii="楷体_GB2312" w:hAnsi="Times New Roman" w:eastAsia="楷体_GB2312" w:cs="Times New Roman"/>
                <w:szCs w:val="21"/>
              </w:rPr>
              <w:sym w:font="Wingdings" w:char="F06F"/>
            </w:r>
            <w:permEnd w:id="43"/>
            <w:r>
              <w:rPr>
                <w:rFonts w:ascii="楷体_GB2312" w:hAnsi="Times New Roman" w:eastAsia="楷体_GB2312" w:cs="Times New Roman"/>
                <w:szCs w:val="21"/>
              </w:rPr>
              <w:t>D</w:t>
            </w:r>
            <w:r>
              <w:rPr>
                <w:rFonts w:hint="eastAsia" w:ascii="楷体_GB2312" w:hAnsi="Times New Roman" w:eastAsia="楷体_GB2312" w:cs="Times New Roman"/>
                <w:szCs w:val="21"/>
              </w:rPr>
              <w:t>+</w:t>
            </w:r>
            <w:r>
              <w:rPr>
                <w:rFonts w:ascii="楷体_GB2312" w:hAnsi="Times New Roman" w:eastAsia="楷体_GB2312" w:cs="Times New Roman"/>
                <w:szCs w:val="21"/>
              </w:rPr>
              <w:t>1</w:t>
            </w:r>
            <w:r>
              <w:rPr>
                <w:rFonts w:hint="eastAsia" w:ascii="楷体_GB2312" w:hAnsi="Times New Roman" w:eastAsia="楷体_GB2312" w:cs="Times New Roman"/>
                <w:szCs w:val="21"/>
              </w:rPr>
              <w:t>日</w:t>
            </w:r>
            <w:permStart w:id="44" w:edGrp="everyone"/>
            <w:r>
              <w:rPr>
                <w:rFonts w:ascii="楷体" w:hAnsi="楷体" w:eastAsia="楷体"/>
                <w:szCs w:val="21"/>
                <w:u w:val="single"/>
              </w:rPr>
              <w:t xml:space="preserve">      </w:t>
            </w:r>
            <w:r>
              <w:rPr>
                <w:rFonts w:hint="eastAsia" w:ascii="楷体" w:hAnsi="楷体" w:eastAsia="楷体"/>
                <w:szCs w:val="21"/>
                <w:u w:val="single"/>
              </w:rPr>
              <w:t>%</w:t>
            </w:r>
            <w:permEnd w:id="44"/>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jc w:val="center"/>
              <w:rPr>
                <w:rFonts w:ascii="楷体" w:hAnsi="楷体" w:eastAsia="楷体"/>
                <w:szCs w:val="21"/>
              </w:rPr>
            </w:pPr>
          </w:p>
        </w:tc>
        <w:tc>
          <w:tcPr>
            <w:tcW w:w="349" w:type="pct"/>
            <w:vMerge w:val="continue"/>
            <w:tcBorders>
              <w:right w:val="single" w:color="auto" w:sz="4" w:space="0"/>
            </w:tcBorders>
            <w:vAlign w:val="center"/>
          </w:tcPr>
          <w:p>
            <w:pPr>
              <w:rPr>
                <w:rFonts w:ascii="楷体" w:hAnsi="楷体" w:eastAsia="楷体"/>
                <w:szCs w:val="21"/>
              </w:rPr>
            </w:pPr>
          </w:p>
        </w:tc>
        <w:tc>
          <w:tcPr>
            <w:tcW w:w="1856" w:type="pct"/>
            <w:gridSpan w:val="4"/>
            <w:tcBorders>
              <w:right w:val="single" w:color="auto" w:sz="4" w:space="0"/>
            </w:tcBorders>
            <w:vAlign w:val="center"/>
          </w:tcPr>
          <w:p>
            <w:pPr>
              <w:rPr>
                <w:rFonts w:ascii="楷体" w:hAnsi="楷体" w:eastAsia="楷体"/>
                <w:szCs w:val="21"/>
              </w:rPr>
            </w:pPr>
            <w:permStart w:id="45" w:edGrp="everyone"/>
            <w:r>
              <w:rPr>
                <w:rFonts w:hint="eastAsia" w:ascii="楷体_GB2312" w:hAnsi="Times New Roman" w:eastAsia="楷体_GB2312" w:cs="Times New Roman"/>
                <w:szCs w:val="21"/>
              </w:rPr>
              <w:sym w:font="Wingdings" w:char="F06F"/>
            </w:r>
            <w:permEnd w:id="45"/>
            <w:r>
              <w:rPr>
                <w:rFonts w:ascii="楷体_GB2312" w:hAnsi="Times New Roman" w:eastAsia="楷体_GB2312" w:cs="Times New Roman"/>
                <w:szCs w:val="21"/>
              </w:rPr>
              <w:t>TS</w:t>
            </w:r>
            <w:permStart w:id="46" w:edGrp="everyone"/>
            <w:r>
              <w:rPr>
                <w:rFonts w:ascii="楷体" w:hAnsi="楷体" w:eastAsia="楷体"/>
                <w:szCs w:val="21"/>
                <w:u w:val="single"/>
              </w:rPr>
              <w:t xml:space="preserve">     </w:t>
            </w:r>
            <w:r>
              <w:rPr>
                <w:rFonts w:hint="eastAsia" w:ascii="楷体" w:hAnsi="楷体" w:eastAsia="楷体"/>
                <w:szCs w:val="21"/>
                <w:u w:val="single"/>
              </w:rPr>
              <w:t>%</w:t>
            </w:r>
            <w:permEnd w:id="46"/>
          </w:p>
        </w:tc>
        <w:tc>
          <w:tcPr>
            <w:tcW w:w="1643" w:type="pct"/>
            <w:tcBorders>
              <w:left w:val="single" w:color="auto" w:sz="4" w:space="0"/>
            </w:tcBorders>
            <w:vAlign w:val="center"/>
          </w:tcPr>
          <w:p>
            <w:pPr>
              <w:rPr>
                <w:rFonts w:ascii="楷体_GB2312" w:hAnsi="Times New Roman" w:eastAsia="楷体_GB2312" w:cs="Times New Roman"/>
                <w:szCs w:val="21"/>
              </w:rPr>
            </w:pPr>
            <w:permStart w:id="47" w:edGrp="everyone"/>
            <w:r>
              <w:rPr>
                <w:rFonts w:hint="eastAsia" w:ascii="楷体_GB2312" w:hAnsi="Times New Roman" w:eastAsia="楷体_GB2312" w:cs="Times New Roman"/>
                <w:szCs w:val="21"/>
              </w:rPr>
              <w:sym w:font="Wingdings" w:char="F06F"/>
            </w:r>
            <w:r>
              <w:rPr>
                <w:rFonts w:hint="eastAsia" w:ascii="楷体_GB2312" w:hAnsi="Times New Roman" w:eastAsia="楷体_GB2312" w:cs="Times New Roman"/>
                <w:szCs w:val="21"/>
              </w:rPr>
              <w:t>自定义时间</w:t>
            </w:r>
            <w:r>
              <w:rPr>
                <w:rFonts w:hint="eastAsia" w:ascii="楷体_GB2312" w:hAnsi="Times New Roman" w:eastAsia="楷体_GB2312" w:cs="Times New Roman"/>
                <w:szCs w:val="21"/>
                <w:u w:val="single"/>
              </w:rPr>
              <w:t xml:space="preserve">  </w:t>
            </w:r>
            <w:r>
              <w:rPr>
                <w:rFonts w:ascii="楷体" w:hAnsi="楷体" w:eastAsia="楷体"/>
                <w:szCs w:val="21"/>
                <w:u w:val="single"/>
              </w:rPr>
              <w:t xml:space="preserve">/  </w:t>
            </w:r>
            <w:permEnd w:id="47"/>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jc w:val="center"/>
              <w:rPr>
                <w:rFonts w:ascii="楷体" w:hAnsi="楷体" w:eastAsia="楷体"/>
                <w:szCs w:val="21"/>
              </w:rPr>
            </w:pPr>
          </w:p>
        </w:tc>
        <w:tc>
          <w:tcPr>
            <w:tcW w:w="349" w:type="pct"/>
            <w:vMerge w:val="restart"/>
            <w:tcBorders>
              <w:right w:val="single" w:color="auto" w:sz="4" w:space="0"/>
            </w:tcBorders>
            <w:vAlign w:val="center"/>
          </w:tcPr>
          <w:p>
            <w:pPr>
              <w:rPr>
                <w:rFonts w:ascii="楷体" w:hAnsi="楷体" w:eastAsia="楷体"/>
                <w:szCs w:val="21"/>
              </w:rPr>
            </w:pPr>
            <w:r>
              <w:rPr>
                <w:rFonts w:ascii="楷体" w:hAnsi="楷体" w:eastAsia="楷体"/>
                <w:szCs w:val="21"/>
              </w:rPr>
              <w:t>花呗</w:t>
            </w:r>
          </w:p>
          <w:p>
            <w:pPr>
              <w:rPr>
                <w:rFonts w:ascii="楷体" w:hAnsi="楷体" w:eastAsia="楷体"/>
                <w:szCs w:val="21"/>
              </w:rPr>
            </w:pPr>
            <w:r>
              <w:rPr>
                <w:rFonts w:ascii="楷体" w:hAnsi="楷体" w:eastAsia="楷体"/>
                <w:szCs w:val="21"/>
              </w:rPr>
              <w:t>分期</w:t>
            </w:r>
          </w:p>
        </w:tc>
        <w:tc>
          <w:tcPr>
            <w:tcW w:w="3498" w:type="pct"/>
            <w:gridSpan w:val="5"/>
            <w:vAlign w:val="center"/>
          </w:tcPr>
          <w:p>
            <w:pPr>
              <w:rPr>
                <w:rFonts w:ascii="楷体_GB2312" w:hAnsi="Times New Roman" w:eastAsia="楷体_GB2312" w:cs="Times New Roman"/>
                <w:szCs w:val="21"/>
              </w:rPr>
            </w:pPr>
            <w:permStart w:id="48" w:edGrp="everyone"/>
            <w:r>
              <w:rPr>
                <w:rFonts w:hint="eastAsia" w:ascii="楷体" w:hAnsi="楷体" w:eastAsia="楷体" w:cs="Times New Roman"/>
                <w:szCs w:val="21"/>
              </w:rPr>
              <w:sym w:font="Wingdings" w:char="F06F"/>
            </w:r>
            <w:permEnd w:id="48"/>
            <w:r>
              <w:rPr>
                <w:rFonts w:hint="eastAsia" w:ascii="楷体" w:hAnsi="楷体" w:eastAsia="楷体"/>
                <w:szCs w:val="21"/>
              </w:rPr>
              <w:t>手续费：</w:t>
            </w:r>
            <w:r>
              <w:rPr>
                <w:rFonts w:ascii="楷体" w:hAnsi="楷体" w:eastAsia="楷体"/>
                <w:szCs w:val="21"/>
              </w:rPr>
              <w:t>3期</w:t>
            </w:r>
            <w:permStart w:id="49" w:edGrp="everyone"/>
            <w:r>
              <w:rPr>
                <w:rFonts w:ascii="楷体" w:hAnsi="楷体" w:eastAsia="楷体"/>
                <w:szCs w:val="21"/>
                <w:u w:val="single"/>
              </w:rPr>
              <w:t xml:space="preserve">    </w:t>
            </w:r>
            <w:r>
              <w:rPr>
                <w:rFonts w:hint="eastAsia" w:ascii="楷体" w:hAnsi="楷体" w:eastAsia="楷体"/>
                <w:szCs w:val="21"/>
                <w:u w:val="single"/>
              </w:rPr>
              <w:t>%</w:t>
            </w:r>
            <w:permEnd w:id="49"/>
            <w:r>
              <w:rPr>
                <w:rFonts w:ascii="楷体" w:hAnsi="楷体" w:eastAsia="楷体"/>
                <w:szCs w:val="21"/>
              </w:rPr>
              <w:t xml:space="preserve">   6期</w:t>
            </w:r>
            <w:permStart w:id="50" w:edGrp="everyone"/>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u w:val="single"/>
              </w:rPr>
              <w:t>%</w:t>
            </w:r>
            <w:permEnd w:id="50"/>
            <w:r>
              <w:rPr>
                <w:rFonts w:ascii="楷体" w:hAnsi="楷体" w:eastAsia="楷体"/>
                <w:szCs w:val="21"/>
              </w:rPr>
              <w:t xml:space="preserve">   12期</w:t>
            </w:r>
            <w:permStart w:id="51" w:edGrp="everyone"/>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u w:val="single"/>
              </w:rPr>
              <w:t>%</w:t>
            </w:r>
            <w:permEnd w:id="51"/>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jc w:val="center"/>
              <w:rPr>
                <w:rFonts w:ascii="楷体" w:hAnsi="楷体" w:eastAsia="楷体"/>
                <w:szCs w:val="21"/>
              </w:rPr>
            </w:pPr>
          </w:p>
        </w:tc>
        <w:tc>
          <w:tcPr>
            <w:tcW w:w="349" w:type="pct"/>
            <w:vMerge w:val="continue"/>
            <w:tcBorders>
              <w:right w:val="single" w:color="auto" w:sz="4" w:space="0"/>
            </w:tcBorders>
            <w:vAlign w:val="center"/>
          </w:tcPr>
          <w:p>
            <w:pPr>
              <w:rPr>
                <w:rFonts w:ascii="楷体" w:hAnsi="楷体" w:eastAsia="楷体"/>
                <w:szCs w:val="21"/>
              </w:rPr>
            </w:pPr>
          </w:p>
        </w:tc>
        <w:tc>
          <w:tcPr>
            <w:tcW w:w="3498" w:type="pct"/>
            <w:gridSpan w:val="5"/>
            <w:vAlign w:val="center"/>
          </w:tcPr>
          <w:p>
            <w:pPr>
              <w:rPr>
                <w:rFonts w:ascii="楷体_GB2312" w:hAnsi="Times New Roman" w:eastAsia="楷体_GB2312" w:cs="Times New Roman"/>
                <w:szCs w:val="21"/>
              </w:rPr>
            </w:pPr>
            <w:permStart w:id="52" w:edGrp="everyone"/>
            <w:r>
              <w:rPr>
                <w:rFonts w:hint="eastAsia" w:ascii="楷体" w:hAnsi="楷体" w:eastAsia="楷体" w:cs="Times New Roman"/>
                <w:szCs w:val="21"/>
              </w:rPr>
              <w:sym w:font="Wingdings" w:char="F06F"/>
            </w:r>
            <w:permEnd w:id="52"/>
            <w:r>
              <w:rPr>
                <w:rFonts w:hint="eastAsia" w:ascii="楷体" w:hAnsi="楷体" w:eastAsia="楷体"/>
                <w:szCs w:val="21"/>
              </w:rPr>
              <w:t>代偿模式服务费：</w:t>
            </w:r>
            <w:r>
              <w:rPr>
                <w:rFonts w:ascii="楷体" w:hAnsi="楷体" w:eastAsia="楷体"/>
                <w:szCs w:val="21"/>
              </w:rPr>
              <w:t>3期</w:t>
            </w:r>
            <w:permStart w:id="53" w:edGrp="everyone"/>
            <w:r>
              <w:rPr>
                <w:rFonts w:ascii="楷体" w:hAnsi="楷体" w:eastAsia="楷体"/>
                <w:szCs w:val="21"/>
                <w:u w:val="single"/>
              </w:rPr>
              <w:t xml:space="preserve">    </w:t>
            </w:r>
            <w:r>
              <w:rPr>
                <w:rFonts w:hint="eastAsia" w:ascii="楷体" w:hAnsi="楷体" w:eastAsia="楷体"/>
                <w:szCs w:val="21"/>
                <w:u w:val="single"/>
              </w:rPr>
              <w:t>%</w:t>
            </w:r>
            <w:permEnd w:id="53"/>
            <w:r>
              <w:rPr>
                <w:rFonts w:ascii="楷体" w:hAnsi="楷体" w:eastAsia="楷体"/>
                <w:szCs w:val="21"/>
              </w:rPr>
              <w:t xml:space="preserve">   6期</w:t>
            </w:r>
            <w:permStart w:id="54" w:edGrp="everyone"/>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u w:val="single"/>
              </w:rPr>
              <w:t>%</w:t>
            </w:r>
            <w:permEnd w:id="54"/>
            <w:r>
              <w:rPr>
                <w:rFonts w:ascii="楷体" w:hAnsi="楷体" w:eastAsia="楷体"/>
                <w:szCs w:val="21"/>
              </w:rPr>
              <w:t xml:space="preserve">    12期</w:t>
            </w:r>
            <w:permStart w:id="55" w:edGrp="everyone"/>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u w:val="single"/>
              </w:rPr>
              <w:t>%</w:t>
            </w:r>
            <w:permEnd w:id="55"/>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3" w:hRule="atLeast"/>
        </w:trPr>
        <w:tc>
          <w:tcPr>
            <w:tcW w:w="198" w:type="pct"/>
            <w:vMerge w:val="continue"/>
            <w:vAlign w:val="center"/>
          </w:tcPr>
          <w:p>
            <w:pPr>
              <w:jc w:val="center"/>
              <w:rPr>
                <w:rFonts w:ascii="楷体" w:hAnsi="楷体" w:eastAsia="楷体"/>
                <w:szCs w:val="21"/>
              </w:rPr>
            </w:pPr>
          </w:p>
        </w:tc>
        <w:tc>
          <w:tcPr>
            <w:tcW w:w="486" w:type="pct"/>
            <w:vMerge w:val="restart"/>
            <w:vAlign w:val="center"/>
          </w:tcPr>
          <w:p>
            <w:pPr>
              <w:jc w:val="center"/>
              <w:rPr>
                <w:rFonts w:ascii="楷体" w:hAnsi="楷体" w:eastAsia="楷体"/>
                <w:szCs w:val="21"/>
              </w:rPr>
            </w:pPr>
            <w:r>
              <w:rPr>
                <w:rFonts w:ascii="楷体" w:hAnsi="楷体" w:eastAsia="楷体"/>
                <w:szCs w:val="21"/>
              </w:rPr>
              <w:t>网络</w:t>
            </w:r>
          </w:p>
          <w:p>
            <w:pPr>
              <w:jc w:val="center"/>
              <w:rPr>
                <w:rFonts w:ascii="楷体" w:hAnsi="楷体" w:eastAsia="楷体"/>
                <w:szCs w:val="21"/>
              </w:rPr>
            </w:pPr>
            <w:r>
              <w:rPr>
                <w:rFonts w:ascii="楷体" w:hAnsi="楷体" w:eastAsia="楷体"/>
                <w:szCs w:val="21"/>
              </w:rPr>
              <w:t>支付</w:t>
            </w:r>
          </w:p>
        </w:tc>
        <w:tc>
          <w:tcPr>
            <w:tcW w:w="468" w:type="pct"/>
            <w:vMerge w:val="restart"/>
            <w:tcBorders>
              <w:right w:val="single" w:color="auto" w:sz="4" w:space="0"/>
            </w:tcBorders>
            <w:vAlign w:val="center"/>
          </w:tcPr>
          <w:p>
            <w:pPr>
              <w:jc w:val="center"/>
              <w:rPr>
                <w:rFonts w:ascii="楷体" w:hAnsi="楷体" w:eastAsia="楷体"/>
                <w:szCs w:val="21"/>
              </w:rPr>
            </w:pPr>
            <w:r>
              <w:rPr>
                <w:rFonts w:hint="eastAsia" w:ascii="楷体" w:hAnsi="楷体" w:eastAsia="楷体"/>
                <w:szCs w:val="21"/>
              </w:rPr>
              <w:t>常规</w:t>
            </w:r>
          </w:p>
          <w:p>
            <w:pPr>
              <w:jc w:val="center"/>
              <w:rPr>
                <w:rFonts w:ascii="楷体" w:hAnsi="楷体" w:eastAsia="楷体"/>
                <w:szCs w:val="21"/>
              </w:rPr>
            </w:pPr>
            <w:r>
              <w:rPr>
                <w:rFonts w:hint="eastAsia" w:ascii="楷体" w:hAnsi="楷体" w:eastAsia="楷体"/>
                <w:szCs w:val="21"/>
              </w:rPr>
              <w:t>业务</w:t>
            </w:r>
          </w:p>
        </w:tc>
        <w:tc>
          <w:tcPr>
            <w:tcW w:w="693" w:type="pct"/>
            <w:gridSpan w:val="2"/>
            <w:vMerge w:val="restart"/>
            <w:tcBorders>
              <w:right w:val="single" w:color="auto" w:sz="4" w:space="0"/>
            </w:tcBorders>
            <w:vAlign w:val="center"/>
          </w:tcPr>
          <w:p>
            <w:pPr>
              <w:rPr>
                <w:rFonts w:ascii="楷体_GB2312" w:hAnsi="Times New Roman" w:eastAsia="楷体_GB2312" w:cs="Times New Roman"/>
                <w:szCs w:val="21"/>
              </w:rPr>
            </w:pPr>
            <w:r>
              <w:rPr>
                <w:rFonts w:hint="eastAsia" w:ascii="楷体" w:hAnsi="楷体" w:eastAsia="楷体"/>
                <w:szCs w:val="21"/>
              </w:rPr>
              <w:t>银行卡支付</w:t>
            </w:r>
          </w:p>
        </w:tc>
        <w:tc>
          <w:tcPr>
            <w:tcW w:w="3155" w:type="pct"/>
            <w:gridSpan w:val="4"/>
            <w:tcBorders>
              <w:left w:val="single" w:color="auto" w:sz="4" w:space="0"/>
            </w:tcBorders>
            <w:vAlign w:val="center"/>
          </w:tcPr>
          <w:p>
            <w:pPr>
              <w:rPr>
                <w:rFonts w:ascii="楷体" w:hAnsi="楷体" w:eastAsia="楷体"/>
                <w:szCs w:val="21"/>
              </w:rPr>
            </w:pPr>
            <w:permStart w:id="56" w:edGrp="everyone"/>
            <w:r>
              <w:rPr>
                <w:rFonts w:hint="eastAsia" w:ascii="楷体_GB2312" w:hAnsi="Times New Roman" w:eastAsia="楷体_GB2312" w:cs="Times New Roman"/>
                <w:szCs w:val="21"/>
              </w:rPr>
              <w:sym w:font="Wingdings" w:char="F06F"/>
            </w:r>
            <w:permEnd w:id="56"/>
            <w:r>
              <w:rPr>
                <w:rFonts w:hint="eastAsia" w:ascii="楷体" w:hAnsi="楷体" w:eastAsia="楷体"/>
                <w:szCs w:val="21"/>
              </w:rPr>
              <w:t>B</w:t>
            </w:r>
            <w:r>
              <w:rPr>
                <w:rFonts w:ascii="楷体" w:hAnsi="楷体" w:eastAsia="楷体"/>
                <w:szCs w:val="21"/>
              </w:rPr>
              <w:t>2B</w:t>
            </w:r>
            <w:r>
              <w:rPr>
                <w:rFonts w:hint="eastAsia" w:ascii="楷体" w:hAnsi="楷体" w:eastAsia="楷体"/>
                <w:szCs w:val="21"/>
              </w:rPr>
              <w:t>网关</w:t>
            </w:r>
            <w:permStart w:id="57" w:edGrp="everyone"/>
            <w:r>
              <w:rPr>
                <w:rFonts w:ascii="楷体" w:hAnsi="楷体" w:eastAsia="楷体"/>
                <w:szCs w:val="21"/>
                <w:u w:val="single"/>
              </w:rPr>
              <w:t xml:space="preserve"> /</w:t>
            </w:r>
            <w:r>
              <w:rPr>
                <w:rFonts w:hint="eastAsia" w:ascii="楷体" w:hAnsi="楷体" w:eastAsia="楷体"/>
                <w:szCs w:val="21"/>
                <w:u w:val="single"/>
              </w:rPr>
              <w:t>元/笔</w:t>
            </w:r>
            <w:r>
              <w:rPr>
                <w:rFonts w:ascii="楷体" w:hAnsi="楷体" w:eastAsia="楷体"/>
                <w:szCs w:val="21"/>
                <w:u w:val="single"/>
              </w:rPr>
              <w:t xml:space="preserve"> </w:t>
            </w:r>
            <w:permEnd w:id="57"/>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_GB2312" w:hAnsi="Times New Roman" w:eastAsia="楷体_GB2312" w:cs="Times New Roman"/>
                <w:szCs w:val="21"/>
              </w:rPr>
            </w:pPr>
          </w:p>
        </w:tc>
        <w:tc>
          <w:tcPr>
            <w:tcW w:w="853" w:type="pct"/>
            <w:gridSpan w:val="2"/>
            <w:vMerge w:val="restart"/>
            <w:tcBorders>
              <w:left w:val="single" w:color="auto" w:sz="4" w:space="0"/>
            </w:tcBorders>
            <w:vAlign w:val="center"/>
          </w:tcPr>
          <w:p>
            <w:pPr>
              <w:rPr>
                <w:rFonts w:ascii="楷体_GB2312" w:hAnsi="Times New Roman" w:eastAsia="楷体_GB2312" w:cs="Times New Roman"/>
                <w:szCs w:val="21"/>
              </w:rPr>
            </w:pPr>
            <w:permStart w:id="58" w:edGrp="everyone"/>
            <w:r>
              <w:rPr>
                <w:rFonts w:hint="eastAsia" w:ascii="楷体_GB2312" w:hAnsi="Times New Roman" w:eastAsia="楷体_GB2312" w:cs="Times New Roman"/>
                <w:szCs w:val="21"/>
              </w:rPr>
              <w:sym w:font="Wingdings" w:char="F06F"/>
            </w:r>
            <w:permEnd w:id="58"/>
            <w:r>
              <w:rPr>
                <w:rFonts w:ascii="楷体_GB2312" w:hAnsi="Times New Roman" w:eastAsia="楷体_GB2312" w:cs="Times New Roman"/>
                <w:szCs w:val="21"/>
              </w:rPr>
              <w:t>B2C</w:t>
            </w:r>
            <w:r>
              <w:rPr>
                <w:rFonts w:hint="eastAsia" w:ascii="楷体" w:hAnsi="楷体" w:eastAsia="楷体"/>
                <w:szCs w:val="21"/>
              </w:rPr>
              <w:t>网关贷记卡</w:t>
            </w:r>
          </w:p>
        </w:tc>
        <w:tc>
          <w:tcPr>
            <w:tcW w:w="659" w:type="pct"/>
            <w:tcBorders>
              <w:left w:val="single" w:color="auto" w:sz="4" w:space="0"/>
            </w:tcBorders>
            <w:vAlign w:val="center"/>
          </w:tcPr>
          <w:p>
            <w:pPr>
              <w:rPr>
                <w:rFonts w:ascii="楷体" w:hAnsi="楷体" w:eastAsia="楷体"/>
                <w:szCs w:val="21"/>
              </w:rPr>
            </w:pPr>
            <w:r>
              <w:rPr>
                <w:rFonts w:ascii="楷体" w:hAnsi="楷体" w:eastAsia="楷体"/>
                <w:szCs w:val="21"/>
              </w:rPr>
              <w:t>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59" w:edGrp="everyone"/>
            <w:r>
              <w:rPr>
                <w:rFonts w:ascii="楷体" w:hAnsi="楷体" w:eastAsia="楷体"/>
                <w:szCs w:val="21"/>
                <w:u w:val="single"/>
              </w:rPr>
              <w:t xml:space="preserve"> </w:t>
            </w:r>
            <w:r>
              <w:rPr>
                <w:rFonts w:hint="eastAsia" w:ascii="楷体" w:hAnsi="楷体" w:eastAsia="楷体"/>
                <w:szCs w:val="21"/>
                <w:u w:val="single"/>
              </w:rPr>
              <w:t>/</w:t>
            </w:r>
            <w:r>
              <w:rPr>
                <w:rFonts w:ascii="楷体" w:hAnsi="楷体" w:eastAsia="楷体"/>
                <w:szCs w:val="21"/>
                <w:u w:val="single"/>
              </w:rPr>
              <w:t xml:space="preserve"> </w:t>
            </w:r>
            <w:r>
              <w:rPr>
                <w:rFonts w:hint="eastAsia" w:ascii="楷体" w:hAnsi="楷体" w:eastAsia="楷体"/>
                <w:szCs w:val="21"/>
                <w:u w:val="single"/>
              </w:rPr>
              <w:t>%</w:t>
            </w:r>
            <w:permEnd w:id="59"/>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_GB2312" w:hAnsi="Times New Roman" w:eastAsia="楷体_GB2312" w:cs="Times New Roman"/>
                <w:szCs w:val="21"/>
              </w:rPr>
            </w:pPr>
          </w:p>
        </w:tc>
        <w:tc>
          <w:tcPr>
            <w:tcW w:w="853" w:type="pct"/>
            <w:gridSpan w:val="2"/>
            <w:vMerge w:val="continue"/>
            <w:tcBorders>
              <w:left w:val="single" w:color="auto" w:sz="4" w:space="0"/>
            </w:tcBorders>
            <w:vAlign w:val="center"/>
          </w:tcPr>
          <w:p>
            <w:pPr>
              <w:rPr>
                <w:rFonts w:ascii="楷体_GB2312" w:hAnsi="Times New Roman" w:eastAsia="楷体_GB2312" w:cs="Times New Roman"/>
                <w:szCs w:val="21"/>
              </w:rPr>
            </w:pPr>
          </w:p>
        </w:tc>
        <w:tc>
          <w:tcPr>
            <w:tcW w:w="659" w:type="pct"/>
            <w:tcBorders>
              <w:left w:val="single" w:color="auto" w:sz="4" w:space="0"/>
            </w:tcBorders>
            <w:vAlign w:val="center"/>
          </w:tcPr>
          <w:p>
            <w:pPr>
              <w:rPr>
                <w:rFonts w:ascii="楷体" w:hAnsi="楷体" w:eastAsia="楷体"/>
                <w:szCs w:val="21"/>
              </w:rPr>
            </w:pPr>
            <w:r>
              <w:rPr>
                <w:rFonts w:ascii="楷体" w:hAnsi="楷体" w:eastAsia="楷体"/>
                <w:szCs w:val="21"/>
              </w:rPr>
              <w:t>II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0" w:edGrp="everyone"/>
            <w:r>
              <w:rPr>
                <w:rFonts w:ascii="楷体" w:hAnsi="楷体" w:eastAsia="楷体"/>
                <w:szCs w:val="21"/>
                <w:u w:val="single"/>
              </w:rPr>
              <w:t xml:space="preserve"> / </w:t>
            </w:r>
            <w:r>
              <w:rPr>
                <w:rFonts w:hint="eastAsia" w:ascii="楷体" w:hAnsi="楷体" w:eastAsia="楷体"/>
                <w:szCs w:val="21"/>
                <w:u w:val="single"/>
              </w:rPr>
              <w:t>%</w:t>
            </w:r>
            <w:permEnd w:id="60"/>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_GB2312" w:hAnsi="Times New Roman" w:eastAsia="楷体_GB2312" w:cs="Times New Roman"/>
                <w:szCs w:val="21"/>
              </w:rPr>
            </w:pPr>
          </w:p>
        </w:tc>
        <w:tc>
          <w:tcPr>
            <w:tcW w:w="853" w:type="pct"/>
            <w:gridSpan w:val="2"/>
            <w:vMerge w:val="restart"/>
            <w:tcBorders>
              <w:left w:val="single" w:color="auto" w:sz="4" w:space="0"/>
            </w:tcBorders>
            <w:vAlign w:val="center"/>
          </w:tcPr>
          <w:p>
            <w:pPr>
              <w:rPr>
                <w:rFonts w:ascii="楷体" w:hAnsi="楷体" w:eastAsia="楷体"/>
                <w:szCs w:val="21"/>
              </w:rPr>
            </w:pPr>
            <w:permStart w:id="61" w:edGrp="everyone"/>
            <w:r>
              <w:rPr>
                <w:rFonts w:hint="eastAsia" w:ascii="楷体_GB2312" w:hAnsi="Times New Roman" w:eastAsia="楷体_GB2312" w:cs="Times New Roman"/>
                <w:szCs w:val="21"/>
              </w:rPr>
              <w:sym w:font="Wingdings" w:char="F06F"/>
            </w:r>
            <w:permEnd w:id="61"/>
            <w:r>
              <w:rPr>
                <w:rFonts w:ascii="楷体_GB2312" w:hAnsi="Times New Roman" w:eastAsia="楷体_GB2312" w:cs="Times New Roman"/>
                <w:szCs w:val="21"/>
              </w:rPr>
              <w:t>B2C</w:t>
            </w:r>
            <w:r>
              <w:rPr>
                <w:rFonts w:hint="eastAsia" w:ascii="楷体" w:hAnsi="楷体" w:eastAsia="楷体"/>
                <w:szCs w:val="21"/>
              </w:rPr>
              <w:t>网关借记卡</w:t>
            </w:r>
          </w:p>
        </w:tc>
        <w:tc>
          <w:tcPr>
            <w:tcW w:w="659" w:type="pct"/>
            <w:tcBorders>
              <w:left w:val="single" w:color="auto" w:sz="4" w:space="0"/>
            </w:tcBorders>
            <w:vAlign w:val="center"/>
          </w:tcPr>
          <w:p>
            <w:pPr>
              <w:rPr>
                <w:rFonts w:ascii="楷体" w:hAnsi="楷体" w:eastAsia="楷体"/>
                <w:szCs w:val="21"/>
              </w:rPr>
            </w:pPr>
            <w:r>
              <w:rPr>
                <w:rFonts w:ascii="楷体" w:hAnsi="楷体" w:eastAsia="楷体"/>
                <w:szCs w:val="21"/>
              </w:rPr>
              <w:t>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2" w:edGrp="everyone"/>
            <w:r>
              <w:rPr>
                <w:rFonts w:ascii="楷体" w:hAnsi="楷体" w:eastAsia="楷体"/>
                <w:szCs w:val="21"/>
                <w:u w:val="single"/>
              </w:rPr>
              <w:t xml:space="preserve"> / </w:t>
            </w:r>
            <w:r>
              <w:rPr>
                <w:rFonts w:hint="eastAsia" w:ascii="楷体" w:hAnsi="楷体" w:eastAsia="楷体"/>
                <w:szCs w:val="21"/>
                <w:u w:val="single"/>
              </w:rPr>
              <w:t>%</w:t>
            </w:r>
            <w:permEnd w:id="62"/>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_GB2312" w:hAnsi="Times New Roman" w:eastAsia="楷体_GB2312" w:cs="Times New Roman"/>
                <w:szCs w:val="21"/>
              </w:rPr>
            </w:pPr>
          </w:p>
        </w:tc>
        <w:tc>
          <w:tcPr>
            <w:tcW w:w="853" w:type="pct"/>
            <w:gridSpan w:val="2"/>
            <w:vMerge w:val="continue"/>
            <w:tcBorders>
              <w:left w:val="single" w:color="auto" w:sz="4" w:space="0"/>
            </w:tcBorders>
            <w:vAlign w:val="center"/>
          </w:tcPr>
          <w:p>
            <w:pPr>
              <w:rPr>
                <w:rFonts w:ascii="楷体_GB2312" w:hAnsi="Times New Roman" w:eastAsia="楷体_GB2312" w:cs="Times New Roman"/>
                <w:szCs w:val="21"/>
              </w:rPr>
            </w:pPr>
          </w:p>
        </w:tc>
        <w:tc>
          <w:tcPr>
            <w:tcW w:w="659" w:type="pct"/>
            <w:tcBorders>
              <w:left w:val="single" w:color="auto" w:sz="4" w:space="0"/>
            </w:tcBorders>
            <w:vAlign w:val="center"/>
          </w:tcPr>
          <w:p>
            <w:pPr>
              <w:rPr>
                <w:rFonts w:ascii="楷体" w:hAnsi="楷体" w:eastAsia="楷体"/>
                <w:szCs w:val="21"/>
              </w:rPr>
            </w:pPr>
            <w:r>
              <w:rPr>
                <w:rFonts w:ascii="楷体" w:hAnsi="楷体" w:eastAsia="楷体"/>
                <w:szCs w:val="21"/>
              </w:rPr>
              <w:t>II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3" w:edGrp="everyone"/>
            <w:r>
              <w:rPr>
                <w:rFonts w:ascii="楷体" w:hAnsi="楷体" w:eastAsia="楷体"/>
                <w:szCs w:val="21"/>
                <w:u w:val="single"/>
              </w:rPr>
              <w:t xml:space="preserve"> / </w:t>
            </w:r>
            <w:r>
              <w:rPr>
                <w:rFonts w:hint="eastAsia" w:ascii="楷体" w:hAnsi="楷体" w:eastAsia="楷体"/>
                <w:szCs w:val="21"/>
                <w:u w:val="single"/>
              </w:rPr>
              <w:t>%</w:t>
            </w:r>
            <w:permEnd w:id="63"/>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_GB2312" w:hAnsi="Times New Roman" w:eastAsia="楷体_GB2312" w:cs="Times New Roman"/>
                <w:szCs w:val="21"/>
              </w:rPr>
            </w:pPr>
          </w:p>
        </w:tc>
        <w:tc>
          <w:tcPr>
            <w:tcW w:w="853" w:type="pct"/>
            <w:gridSpan w:val="2"/>
            <w:vMerge w:val="continue"/>
            <w:tcBorders>
              <w:left w:val="single" w:color="auto" w:sz="4" w:space="0"/>
            </w:tcBorders>
            <w:vAlign w:val="center"/>
          </w:tcPr>
          <w:p>
            <w:pPr>
              <w:rPr>
                <w:rFonts w:ascii="楷体_GB2312" w:hAnsi="Times New Roman" w:eastAsia="楷体_GB2312" w:cs="Times New Roman"/>
                <w:szCs w:val="21"/>
              </w:rPr>
            </w:pPr>
          </w:p>
        </w:tc>
        <w:tc>
          <w:tcPr>
            <w:tcW w:w="659" w:type="pct"/>
            <w:tcBorders>
              <w:left w:val="single" w:color="auto" w:sz="4" w:space="0"/>
            </w:tcBorders>
            <w:vAlign w:val="center"/>
          </w:tcPr>
          <w:p>
            <w:pPr>
              <w:rPr>
                <w:rFonts w:ascii="楷体" w:hAnsi="楷体" w:eastAsia="楷体"/>
                <w:szCs w:val="21"/>
              </w:rPr>
            </w:pPr>
            <w:r>
              <w:rPr>
                <w:rFonts w:ascii="楷体" w:hAnsi="楷体" w:eastAsia="楷体"/>
                <w:szCs w:val="21"/>
              </w:rPr>
              <w:t>III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4" w:edGrp="everyone"/>
            <w:r>
              <w:rPr>
                <w:rFonts w:ascii="楷体" w:hAnsi="楷体" w:eastAsia="楷体"/>
                <w:szCs w:val="21"/>
                <w:u w:val="single"/>
              </w:rPr>
              <w:t xml:space="preserve"> / </w:t>
            </w:r>
            <w:r>
              <w:rPr>
                <w:rFonts w:hint="eastAsia" w:ascii="楷体" w:hAnsi="楷体" w:eastAsia="楷体"/>
                <w:szCs w:val="21"/>
                <w:u w:val="single"/>
              </w:rPr>
              <w:t>%</w:t>
            </w:r>
            <w:permEnd w:id="64"/>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restart"/>
            <w:tcBorders>
              <w:right w:val="single" w:color="auto" w:sz="4" w:space="0"/>
            </w:tcBorders>
            <w:vAlign w:val="center"/>
          </w:tcPr>
          <w:p>
            <w:pPr>
              <w:jc w:val="center"/>
              <w:rPr>
                <w:rFonts w:ascii="楷体" w:hAnsi="楷体" w:eastAsia="楷体"/>
                <w:szCs w:val="21"/>
              </w:rPr>
            </w:pPr>
            <w:permStart w:id="65" w:edGrp="everyone"/>
            <w:r>
              <w:rPr>
                <w:rFonts w:hint="eastAsia" w:ascii="楷体" w:hAnsi="楷体" w:eastAsia="楷体" w:cs="Times New Roman"/>
                <w:szCs w:val="21"/>
              </w:rPr>
              <w:sym w:font="Wingdings" w:char="F06F"/>
            </w:r>
            <w:permEnd w:id="65"/>
            <w:r>
              <w:rPr>
                <w:rFonts w:hint="eastAsia" w:ascii="楷体" w:hAnsi="楷体" w:eastAsia="楷体"/>
                <w:szCs w:val="21"/>
              </w:rPr>
              <w:t>协议支付</w:t>
            </w:r>
          </w:p>
          <w:p>
            <w:pPr>
              <w:jc w:val="center"/>
              <w:rPr>
                <w:rFonts w:ascii="楷体" w:hAnsi="楷体" w:eastAsia="楷体"/>
                <w:szCs w:val="21"/>
              </w:rPr>
            </w:pPr>
            <w:r>
              <w:rPr>
                <w:rFonts w:hint="eastAsia" w:ascii="楷体" w:hAnsi="楷体" w:eastAsia="楷体"/>
                <w:szCs w:val="21"/>
              </w:rPr>
              <w:t>（贷记卡）</w:t>
            </w:r>
          </w:p>
        </w:tc>
        <w:tc>
          <w:tcPr>
            <w:tcW w:w="1512" w:type="pct"/>
            <w:gridSpan w:val="3"/>
            <w:tcBorders>
              <w:left w:val="single" w:color="auto" w:sz="4" w:space="0"/>
              <w:right w:val="single" w:color="auto" w:sz="4" w:space="0"/>
            </w:tcBorders>
            <w:vAlign w:val="center"/>
          </w:tcPr>
          <w:p>
            <w:pPr>
              <w:jc w:val="center"/>
              <w:rPr>
                <w:rFonts w:ascii="楷体" w:hAnsi="楷体" w:eastAsia="楷体"/>
                <w:szCs w:val="21"/>
              </w:rPr>
            </w:pPr>
            <w:r>
              <w:rPr>
                <w:rFonts w:ascii="楷体" w:hAnsi="楷体" w:eastAsia="楷体"/>
                <w:szCs w:val="21"/>
              </w:rPr>
              <w:t>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6" w:edGrp="everyone"/>
            <w:r>
              <w:rPr>
                <w:rFonts w:ascii="楷体" w:hAnsi="楷体" w:eastAsia="楷体"/>
                <w:szCs w:val="21"/>
                <w:u w:val="single"/>
              </w:rPr>
              <w:t xml:space="preserve"> / </w:t>
            </w:r>
            <w:r>
              <w:rPr>
                <w:rFonts w:hint="eastAsia" w:ascii="楷体" w:hAnsi="楷体" w:eastAsia="楷体"/>
                <w:szCs w:val="21"/>
                <w:u w:val="single"/>
              </w:rPr>
              <w:t>%</w:t>
            </w:r>
            <w:permEnd w:id="66"/>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 w:hAnsi="楷体" w:eastAsia="楷体"/>
                <w:szCs w:val="21"/>
              </w:rPr>
            </w:pPr>
          </w:p>
        </w:tc>
        <w:tc>
          <w:tcPr>
            <w:tcW w:w="1512" w:type="pct"/>
            <w:gridSpan w:val="3"/>
            <w:tcBorders>
              <w:left w:val="single" w:color="auto" w:sz="4" w:space="0"/>
              <w:right w:val="single" w:color="auto" w:sz="4" w:space="0"/>
            </w:tcBorders>
            <w:vAlign w:val="center"/>
          </w:tcPr>
          <w:p>
            <w:pPr>
              <w:jc w:val="center"/>
              <w:rPr>
                <w:rFonts w:ascii="楷体" w:hAnsi="楷体" w:eastAsia="楷体"/>
                <w:szCs w:val="21"/>
              </w:rPr>
            </w:pPr>
            <w:r>
              <w:rPr>
                <w:rFonts w:ascii="楷体" w:hAnsi="楷体" w:eastAsia="楷体"/>
                <w:szCs w:val="21"/>
              </w:rPr>
              <w:t>II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7" w:edGrp="everyone"/>
            <w:r>
              <w:rPr>
                <w:rFonts w:ascii="楷体" w:hAnsi="楷体" w:eastAsia="楷体"/>
                <w:szCs w:val="21"/>
                <w:u w:val="single"/>
              </w:rPr>
              <w:t xml:space="preserve"> / </w:t>
            </w:r>
            <w:r>
              <w:rPr>
                <w:rFonts w:hint="eastAsia" w:ascii="楷体" w:hAnsi="楷体" w:eastAsia="楷体"/>
                <w:szCs w:val="21"/>
                <w:u w:val="single"/>
              </w:rPr>
              <w:t>%</w:t>
            </w:r>
            <w:permEnd w:id="67"/>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restart"/>
            <w:tcBorders>
              <w:right w:val="single" w:color="auto" w:sz="4" w:space="0"/>
            </w:tcBorders>
            <w:vAlign w:val="center"/>
          </w:tcPr>
          <w:p>
            <w:pPr>
              <w:jc w:val="center"/>
              <w:rPr>
                <w:rFonts w:ascii="楷体" w:hAnsi="楷体" w:eastAsia="楷体"/>
                <w:szCs w:val="21"/>
              </w:rPr>
            </w:pPr>
            <w:permStart w:id="68" w:edGrp="everyone"/>
            <w:r>
              <w:rPr>
                <w:rFonts w:hint="eastAsia" w:ascii="楷体" w:hAnsi="楷体" w:eastAsia="楷体" w:cs="Times New Roman"/>
                <w:szCs w:val="21"/>
              </w:rPr>
              <w:sym w:font="Wingdings" w:char="F06F"/>
            </w:r>
            <w:permEnd w:id="68"/>
            <w:r>
              <w:rPr>
                <w:rFonts w:hint="eastAsia" w:ascii="楷体" w:hAnsi="楷体" w:eastAsia="楷体"/>
                <w:szCs w:val="21"/>
              </w:rPr>
              <w:t>协议支付</w:t>
            </w:r>
          </w:p>
          <w:p>
            <w:pPr>
              <w:jc w:val="center"/>
              <w:rPr>
                <w:rFonts w:ascii="楷体" w:hAnsi="楷体" w:eastAsia="楷体"/>
                <w:szCs w:val="21"/>
              </w:rPr>
            </w:pPr>
            <w:r>
              <w:rPr>
                <w:rFonts w:hint="eastAsia" w:ascii="楷体" w:hAnsi="楷体" w:eastAsia="楷体"/>
                <w:szCs w:val="21"/>
              </w:rPr>
              <w:t>（借记卡）</w:t>
            </w:r>
          </w:p>
        </w:tc>
        <w:tc>
          <w:tcPr>
            <w:tcW w:w="1512" w:type="pct"/>
            <w:gridSpan w:val="3"/>
            <w:tcBorders>
              <w:left w:val="single" w:color="auto" w:sz="4" w:space="0"/>
              <w:right w:val="single" w:color="auto" w:sz="4" w:space="0"/>
            </w:tcBorders>
            <w:vAlign w:val="center"/>
          </w:tcPr>
          <w:p>
            <w:pPr>
              <w:jc w:val="center"/>
              <w:rPr>
                <w:rFonts w:ascii="楷体" w:hAnsi="楷体" w:eastAsia="楷体"/>
                <w:szCs w:val="21"/>
              </w:rPr>
            </w:pPr>
            <w:r>
              <w:rPr>
                <w:rFonts w:ascii="楷体" w:hAnsi="楷体" w:eastAsia="楷体"/>
                <w:szCs w:val="21"/>
              </w:rPr>
              <w:t>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9" w:edGrp="everyone"/>
            <w:r>
              <w:rPr>
                <w:rFonts w:ascii="楷体" w:hAnsi="楷体" w:eastAsia="楷体"/>
                <w:szCs w:val="21"/>
                <w:u w:val="single"/>
              </w:rPr>
              <w:t xml:space="preserve"> / </w:t>
            </w:r>
            <w:r>
              <w:rPr>
                <w:rFonts w:hint="eastAsia" w:ascii="楷体" w:hAnsi="楷体" w:eastAsia="楷体"/>
                <w:szCs w:val="21"/>
                <w:u w:val="single"/>
              </w:rPr>
              <w:t>%</w:t>
            </w:r>
            <w:permEnd w:id="69"/>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 w:hAnsi="楷体" w:eastAsia="楷体"/>
                <w:szCs w:val="21"/>
              </w:rPr>
            </w:pPr>
          </w:p>
        </w:tc>
        <w:tc>
          <w:tcPr>
            <w:tcW w:w="1512" w:type="pct"/>
            <w:gridSpan w:val="3"/>
            <w:tcBorders>
              <w:left w:val="single" w:color="auto" w:sz="4" w:space="0"/>
              <w:right w:val="single" w:color="auto" w:sz="4" w:space="0"/>
            </w:tcBorders>
            <w:vAlign w:val="center"/>
          </w:tcPr>
          <w:p>
            <w:pPr>
              <w:jc w:val="center"/>
              <w:rPr>
                <w:rFonts w:ascii="楷体" w:hAnsi="楷体" w:eastAsia="楷体"/>
                <w:szCs w:val="21"/>
              </w:rPr>
            </w:pPr>
            <w:r>
              <w:rPr>
                <w:rFonts w:ascii="楷体" w:hAnsi="楷体" w:eastAsia="楷体"/>
                <w:szCs w:val="21"/>
              </w:rPr>
              <w:t>II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70" w:edGrp="everyone"/>
            <w:r>
              <w:rPr>
                <w:rFonts w:ascii="楷体" w:hAnsi="楷体" w:eastAsia="楷体"/>
                <w:szCs w:val="21"/>
                <w:u w:val="single"/>
              </w:rPr>
              <w:t xml:space="preserve"> / </w:t>
            </w:r>
            <w:r>
              <w:rPr>
                <w:rFonts w:hint="eastAsia" w:ascii="楷体" w:hAnsi="楷体" w:eastAsia="楷体"/>
                <w:szCs w:val="21"/>
                <w:u w:val="single"/>
              </w:rPr>
              <w:t>%</w:t>
            </w:r>
            <w:permEnd w:id="70"/>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 w:hAnsi="楷体" w:eastAsia="楷体"/>
                <w:szCs w:val="21"/>
              </w:rPr>
            </w:pPr>
          </w:p>
        </w:tc>
        <w:tc>
          <w:tcPr>
            <w:tcW w:w="1512" w:type="pct"/>
            <w:gridSpan w:val="3"/>
            <w:tcBorders>
              <w:left w:val="single" w:color="auto" w:sz="4" w:space="0"/>
              <w:right w:val="single" w:color="auto" w:sz="4" w:space="0"/>
            </w:tcBorders>
            <w:vAlign w:val="center"/>
          </w:tcPr>
          <w:p>
            <w:pPr>
              <w:jc w:val="center"/>
              <w:rPr>
                <w:rFonts w:ascii="楷体" w:hAnsi="楷体" w:eastAsia="楷体"/>
                <w:szCs w:val="21"/>
              </w:rPr>
            </w:pPr>
            <w:r>
              <w:rPr>
                <w:rFonts w:ascii="楷体" w:hAnsi="楷体" w:eastAsia="楷体"/>
                <w:szCs w:val="21"/>
              </w:rPr>
              <w:t>III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71" w:edGrp="everyone"/>
            <w:r>
              <w:rPr>
                <w:rFonts w:ascii="楷体" w:hAnsi="楷体" w:eastAsia="楷体"/>
                <w:szCs w:val="21"/>
                <w:u w:val="single"/>
              </w:rPr>
              <w:t xml:space="preserve">/  </w:t>
            </w:r>
            <w:r>
              <w:rPr>
                <w:rFonts w:hint="eastAsia" w:ascii="楷体" w:hAnsi="楷体" w:eastAsia="楷体"/>
                <w:szCs w:val="21"/>
                <w:u w:val="single"/>
              </w:rPr>
              <w:t>%</w:t>
            </w:r>
            <w:permEnd w:id="71"/>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3"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restart"/>
            <w:tcBorders>
              <w:right w:val="single" w:color="auto" w:sz="4" w:space="0"/>
            </w:tcBorders>
            <w:vAlign w:val="center"/>
          </w:tcPr>
          <w:p>
            <w:pPr>
              <w:rPr>
                <w:rFonts w:ascii="楷体" w:hAnsi="楷体" w:eastAsia="楷体"/>
                <w:szCs w:val="21"/>
              </w:rPr>
            </w:pPr>
            <w:r>
              <w:rPr>
                <w:rFonts w:hint="eastAsia" w:ascii="楷体" w:hAnsi="楷体" w:eastAsia="楷体"/>
                <w:szCs w:val="21"/>
              </w:rPr>
              <w:t>条码支付*</w:t>
            </w:r>
          </w:p>
        </w:tc>
        <w:tc>
          <w:tcPr>
            <w:tcW w:w="1512" w:type="pct"/>
            <w:gridSpan w:val="3"/>
            <w:tcBorders>
              <w:left w:val="single" w:color="auto" w:sz="4" w:space="0"/>
            </w:tcBorders>
            <w:vAlign w:val="center"/>
          </w:tcPr>
          <w:p>
            <w:pPr>
              <w:rPr>
                <w:rFonts w:ascii="楷体" w:hAnsi="楷体" w:eastAsia="楷体"/>
                <w:szCs w:val="21"/>
              </w:rPr>
            </w:pPr>
            <w:permStart w:id="72" w:edGrp="everyone"/>
            <w:r>
              <w:rPr>
                <w:rFonts w:hint="eastAsia" w:ascii="楷体_GB2312" w:hAnsi="Times New Roman" w:eastAsia="楷体_GB2312" w:cs="Times New Roman"/>
                <w:szCs w:val="21"/>
              </w:rPr>
              <w:sym w:font="Wingdings" w:char="F06F"/>
            </w:r>
            <w:permEnd w:id="72"/>
            <w:r>
              <w:rPr>
                <w:rFonts w:hint="eastAsia" w:ascii="楷体" w:hAnsi="楷体" w:eastAsia="楷体"/>
                <w:szCs w:val="21"/>
              </w:rPr>
              <w:t>银联贷记卡小额交易</w:t>
            </w:r>
            <w:permStart w:id="73" w:edGrp="everyone"/>
            <w:r>
              <w:rPr>
                <w:rFonts w:ascii="楷体" w:hAnsi="楷体" w:eastAsia="楷体"/>
                <w:szCs w:val="21"/>
                <w:u w:val="single"/>
              </w:rPr>
              <w:t xml:space="preserve">    </w:t>
            </w:r>
            <w:r>
              <w:rPr>
                <w:rFonts w:hint="eastAsia" w:ascii="楷体" w:hAnsi="楷体" w:eastAsia="楷体"/>
                <w:szCs w:val="21"/>
                <w:u w:val="single"/>
              </w:rPr>
              <w:t>%</w:t>
            </w:r>
            <w:permEnd w:id="73"/>
            <w:r>
              <w:rPr>
                <w:rFonts w:hint="eastAsia" w:ascii="楷体" w:hAnsi="楷体" w:eastAsia="楷体"/>
                <w:szCs w:val="21"/>
              </w:rPr>
              <w:t>，</w:t>
            </w:r>
          </w:p>
          <w:p>
            <w:pPr>
              <w:rPr>
                <w:rFonts w:ascii="楷体" w:hAnsi="楷体" w:eastAsia="楷体"/>
                <w:szCs w:val="21"/>
              </w:rPr>
            </w:pPr>
            <w:r>
              <w:rPr>
                <w:rFonts w:ascii="楷体" w:hAnsi="楷体" w:eastAsia="楷体"/>
                <w:szCs w:val="21"/>
              </w:rPr>
              <w:t>封顶</w:t>
            </w:r>
            <w:permStart w:id="74" w:edGrp="everyone"/>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元</w:t>
            </w:r>
            <w:permEnd w:id="74"/>
            <w:r>
              <w:rPr>
                <w:rFonts w:ascii="楷体" w:hAnsi="楷体" w:eastAsia="楷体"/>
                <w:szCs w:val="21"/>
              </w:rPr>
              <w:t xml:space="preserve">  </w:t>
            </w:r>
          </w:p>
        </w:tc>
        <w:tc>
          <w:tcPr>
            <w:tcW w:w="1643" w:type="pct"/>
            <w:tcBorders>
              <w:left w:val="single" w:color="auto" w:sz="4" w:space="0"/>
            </w:tcBorders>
            <w:vAlign w:val="center"/>
          </w:tcPr>
          <w:p>
            <w:pPr>
              <w:rPr>
                <w:rFonts w:ascii="楷体" w:hAnsi="楷体" w:eastAsia="楷体"/>
                <w:szCs w:val="21"/>
              </w:rPr>
            </w:pPr>
            <w:permStart w:id="75" w:edGrp="everyone"/>
            <w:r>
              <w:rPr>
                <w:rFonts w:hint="eastAsia" w:ascii="楷体_GB2312" w:hAnsi="Times New Roman" w:eastAsia="楷体_GB2312" w:cs="Times New Roman"/>
                <w:szCs w:val="21"/>
              </w:rPr>
              <w:sym w:font="Wingdings" w:char="F06F"/>
            </w:r>
            <w:permEnd w:id="75"/>
            <w:r>
              <w:rPr>
                <w:rFonts w:hint="eastAsia" w:ascii="楷体" w:hAnsi="楷体" w:eastAsia="楷体"/>
                <w:szCs w:val="21"/>
              </w:rPr>
              <w:t>银联贷记卡大额交易</w:t>
            </w:r>
            <w:permStart w:id="76" w:edGrp="everyone"/>
            <w:r>
              <w:rPr>
                <w:rFonts w:ascii="楷体" w:hAnsi="楷体" w:eastAsia="楷体"/>
                <w:szCs w:val="21"/>
                <w:u w:val="single"/>
              </w:rPr>
              <w:t xml:space="preserve">     </w:t>
            </w:r>
            <w:r>
              <w:rPr>
                <w:rFonts w:hint="eastAsia" w:ascii="楷体" w:hAnsi="楷体" w:eastAsia="楷体"/>
                <w:szCs w:val="21"/>
                <w:u w:val="single"/>
              </w:rPr>
              <w:t>%</w:t>
            </w:r>
            <w:permEnd w:id="76"/>
            <w:r>
              <w:rPr>
                <w:rFonts w:hint="eastAsia" w:ascii="楷体" w:hAnsi="楷体" w:eastAsia="楷体"/>
                <w:szCs w:val="21"/>
              </w:rPr>
              <w:t>，</w:t>
            </w:r>
          </w:p>
          <w:p>
            <w:pPr>
              <w:rPr>
                <w:rFonts w:ascii="楷体" w:hAnsi="楷体" w:eastAsia="楷体"/>
                <w:szCs w:val="21"/>
              </w:rPr>
            </w:pPr>
            <w:r>
              <w:rPr>
                <w:rFonts w:ascii="楷体" w:hAnsi="楷体" w:eastAsia="楷体"/>
                <w:szCs w:val="21"/>
              </w:rPr>
              <w:t>封顶</w:t>
            </w:r>
            <w:permStart w:id="77" w:edGrp="everyone"/>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元</w:t>
            </w:r>
            <w:permEnd w:id="77"/>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3"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 w:hAnsi="楷体" w:eastAsia="楷体"/>
                <w:szCs w:val="21"/>
              </w:rPr>
            </w:pPr>
          </w:p>
        </w:tc>
        <w:tc>
          <w:tcPr>
            <w:tcW w:w="1512" w:type="pct"/>
            <w:gridSpan w:val="3"/>
            <w:tcBorders>
              <w:left w:val="single" w:color="auto" w:sz="4" w:space="0"/>
            </w:tcBorders>
            <w:vAlign w:val="center"/>
          </w:tcPr>
          <w:p>
            <w:pPr>
              <w:rPr>
                <w:rFonts w:ascii="楷体" w:hAnsi="楷体" w:eastAsia="楷体"/>
                <w:szCs w:val="21"/>
              </w:rPr>
            </w:pPr>
            <w:permStart w:id="78" w:edGrp="everyone"/>
            <w:r>
              <w:rPr>
                <w:rFonts w:hint="eastAsia" w:ascii="楷体_GB2312" w:hAnsi="Times New Roman" w:eastAsia="楷体_GB2312" w:cs="Times New Roman"/>
                <w:szCs w:val="21"/>
              </w:rPr>
              <w:sym w:font="Wingdings" w:char="F06F"/>
            </w:r>
            <w:permEnd w:id="78"/>
            <w:r>
              <w:rPr>
                <w:rFonts w:hint="eastAsia" w:ascii="楷体" w:hAnsi="楷体" w:eastAsia="楷体"/>
                <w:szCs w:val="21"/>
              </w:rPr>
              <w:t>银联借记卡小额交易</w:t>
            </w:r>
            <w:permStart w:id="79" w:edGrp="everyone"/>
            <w:r>
              <w:rPr>
                <w:rFonts w:ascii="楷体" w:hAnsi="楷体" w:eastAsia="楷体"/>
                <w:szCs w:val="21"/>
                <w:u w:val="single"/>
              </w:rPr>
              <w:t xml:space="preserve">    </w:t>
            </w:r>
            <w:r>
              <w:rPr>
                <w:rFonts w:hint="eastAsia" w:ascii="楷体" w:hAnsi="楷体" w:eastAsia="楷体"/>
                <w:szCs w:val="21"/>
                <w:u w:val="single"/>
              </w:rPr>
              <w:t>%</w:t>
            </w:r>
            <w:permEnd w:id="79"/>
            <w:r>
              <w:rPr>
                <w:rFonts w:hint="eastAsia" w:ascii="楷体" w:hAnsi="楷体" w:eastAsia="楷体"/>
                <w:szCs w:val="21"/>
              </w:rPr>
              <w:t>，</w:t>
            </w:r>
          </w:p>
          <w:p>
            <w:pPr>
              <w:rPr>
                <w:rFonts w:ascii="楷体_GB2312" w:hAnsi="Times New Roman" w:eastAsia="楷体_GB2312" w:cs="Times New Roman"/>
                <w:szCs w:val="21"/>
              </w:rPr>
            </w:pPr>
            <w:r>
              <w:rPr>
                <w:rFonts w:ascii="楷体" w:hAnsi="楷体" w:eastAsia="楷体"/>
                <w:szCs w:val="21"/>
              </w:rPr>
              <w:t>封顶</w:t>
            </w:r>
            <w:permStart w:id="80" w:edGrp="everyone"/>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元</w:t>
            </w:r>
            <w:permEnd w:id="80"/>
          </w:p>
        </w:tc>
        <w:tc>
          <w:tcPr>
            <w:tcW w:w="1643" w:type="pct"/>
            <w:tcBorders>
              <w:left w:val="single" w:color="auto" w:sz="4" w:space="0"/>
            </w:tcBorders>
            <w:vAlign w:val="center"/>
          </w:tcPr>
          <w:p>
            <w:pPr>
              <w:rPr>
                <w:rFonts w:ascii="楷体" w:hAnsi="楷体" w:eastAsia="楷体"/>
                <w:szCs w:val="21"/>
              </w:rPr>
            </w:pPr>
            <w:permStart w:id="81" w:edGrp="everyone"/>
            <w:r>
              <w:rPr>
                <w:rFonts w:hint="eastAsia" w:ascii="楷体_GB2312" w:hAnsi="Times New Roman" w:eastAsia="楷体_GB2312" w:cs="Times New Roman"/>
                <w:szCs w:val="21"/>
              </w:rPr>
              <w:sym w:font="Wingdings" w:char="F06F"/>
            </w:r>
            <w:permEnd w:id="81"/>
            <w:r>
              <w:rPr>
                <w:rFonts w:hint="eastAsia" w:ascii="楷体" w:hAnsi="楷体" w:eastAsia="楷体"/>
                <w:szCs w:val="21"/>
              </w:rPr>
              <w:t>银联借记卡大额交易</w:t>
            </w:r>
            <w:permStart w:id="82" w:edGrp="everyone"/>
            <w:r>
              <w:rPr>
                <w:rFonts w:ascii="楷体" w:hAnsi="楷体" w:eastAsia="楷体"/>
                <w:szCs w:val="21"/>
                <w:u w:val="single"/>
              </w:rPr>
              <w:t xml:space="preserve">   %</w:t>
            </w:r>
            <w:permEnd w:id="82"/>
            <w:r>
              <w:rPr>
                <w:rFonts w:hint="eastAsia" w:ascii="楷体" w:hAnsi="楷体" w:eastAsia="楷体"/>
                <w:szCs w:val="21"/>
              </w:rPr>
              <w:t>，</w:t>
            </w:r>
          </w:p>
          <w:p>
            <w:pPr>
              <w:rPr>
                <w:rFonts w:ascii="楷体_GB2312" w:hAnsi="Times New Roman" w:eastAsia="楷体_GB2312" w:cs="Times New Roman"/>
                <w:szCs w:val="21"/>
              </w:rPr>
            </w:pPr>
            <w:r>
              <w:rPr>
                <w:rFonts w:ascii="楷体" w:hAnsi="楷体" w:eastAsia="楷体"/>
                <w:szCs w:val="21"/>
              </w:rPr>
              <w:t>封顶</w:t>
            </w:r>
            <w:permStart w:id="83" w:edGrp="everyone"/>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元</w:t>
            </w:r>
            <w:permEnd w:id="83"/>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3"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 w:hAnsi="楷体" w:eastAsia="楷体"/>
                <w:szCs w:val="21"/>
              </w:rPr>
            </w:pPr>
          </w:p>
        </w:tc>
        <w:tc>
          <w:tcPr>
            <w:tcW w:w="1512" w:type="pct"/>
            <w:gridSpan w:val="3"/>
            <w:tcBorders>
              <w:left w:val="single" w:color="auto" w:sz="4" w:space="0"/>
            </w:tcBorders>
            <w:vAlign w:val="center"/>
          </w:tcPr>
          <w:p>
            <w:pPr>
              <w:rPr>
                <w:rFonts w:ascii="楷体_GB2312" w:hAnsi="Times New Roman" w:eastAsia="楷体_GB2312" w:cs="Times New Roman"/>
                <w:szCs w:val="21"/>
              </w:rPr>
            </w:pPr>
            <w:permStart w:id="84" w:edGrp="everyone"/>
            <w:r>
              <w:rPr>
                <w:rFonts w:hint="eastAsia" w:ascii="楷体_GB2312" w:hAnsi="Times New Roman" w:eastAsia="楷体_GB2312" w:cs="Times New Roman"/>
                <w:szCs w:val="21"/>
              </w:rPr>
              <w:sym w:font="Wingdings" w:char="F06F"/>
            </w:r>
            <w:permEnd w:id="84"/>
            <w:r>
              <w:rPr>
                <w:rFonts w:hint="eastAsia" w:ascii="楷体" w:hAnsi="楷体" w:eastAsia="楷体"/>
                <w:szCs w:val="21"/>
              </w:rPr>
              <w:t>微信</w:t>
            </w:r>
            <w:permStart w:id="85" w:edGrp="everyone"/>
            <w:r>
              <w:rPr>
                <w:rFonts w:ascii="楷体" w:hAnsi="楷体" w:eastAsia="楷体"/>
                <w:szCs w:val="21"/>
                <w:u w:val="single"/>
              </w:rPr>
              <w:t xml:space="preserve">    </w:t>
            </w:r>
            <w:r>
              <w:rPr>
                <w:rFonts w:hint="eastAsia" w:ascii="楷体" w:hAnsi="楷体" w:eastAsia="楷体"/>
                <w:szCs w:val="21"/>
                <w:u w:val="single"/>
              </w:rPr>
              <w:t>%</w:t>
            </w:r>
            <w:permEnd w:id="85"/>
          </w:p>
        </w:tc>
        <w:tc>
          <w:tcPr>
            <w:tcW w:w="1643" w:type="pct"/>
            <w:tcBorders>
              <w:left w:val="single" w:color="auto" w:sz="4" w:space="0"/>
            </w:tcBorders>
            <w:vAlign w:val="center"/>
          </w:tcPr>
          <w:p>
            <w:pPr>
              <w:rPr>
                <w:rFonts w:ascii="楷体_GB2312" w:hAnsi="Times New Roman" w:eastAsia="楷体_GB2312" w:cs="Times New Roman"/>
                <w:szCs w:val="21"/>
              </w:rPr>
            </w:pPr>
            <w:permStart w:id="86" w:edGrp="everyone"/>
            <w:r>
              <w:rPr>
                <w:rFonts w:hint="eastAsia" w:ascii="楷体_GB2312" w:hAnsi="Times New Roman" w:eastAsia="楷体_GB2312" w:cs="Times New Roman"/>
                <w:szCs w:val="21"/>
              </w:rPr>
              <w:sym w:font="Wingdings" w:char="F06F"/>
            </w:r>
            <w:permEnd w:id="86"/>
            <w:r>
              <w:rPr>
                <w:rFonts w:hint="eastAsia" w:ascii="楷体" w:hAnsi="楷体" w:eastAsia="楷体"/>
                <w:szCs w:val="21"/>
              </w:rPr>
              <w:t>支付宝</w:t>
            </w:r>
            <w:permStart w:id="87" w:edGrp="everyone"/>
            <w:r>
              <w:rPr>
                <w:rFonts w:ascii="楷体" w:hAnsi="楷体" w:eastAsia="楷体"/>
                <w:szCs w:val="21"/>
                <w:u w:val="single"/>
              </w:rPr>
              <w:t xml:space="preserve">    %</w:t>
            </w:r>
            <w:permEnd w:id="87"/>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restart"/>
            <w:tcBorders>
              <w:right w:val="single" w:color="auto" w:sz="4" w:space="0"/>
            </w:tcBorders>
            <w:vAlign w:val="center"/>
          </w:tcPr>
          <w:p>
            <w:pPr>
              <w:jc w:val="center"/>
              <w:rPr>
                <w:rFonts w:ascii="楷体" w:hAnsi="楷体" w:eastAsia="楷体"/>
                <w:szCs w:val="21"/>
              </w:rPr>
            </w:pPr>
            <w:r>
              <w:rPr>
                <w:rFonts w:hint="eastAsia" w:ascii="楷体" w:hAnsi="楷体" w:eastAsia="楷体"/>
                <w:szCs w:val="21"/>
              </w:rPr>
              <w:t>增值</w:t>
            </w:r>
          </w:p>
          <w:p>
            <w:pPr>
              <w:jc w:val="center"/>
              <w:rPr>
                <w:rFonts w:ascii="楷体" w:hAnsi="楷体" w:eastAsia="楷体"/>
                <w:szCs w:val="21"/>
              </w:rPr>
            </w:pPr>
            <w:r>
              <w:rPr>
                <w:rFonts w:hint="eastAsia" w:ascii="楷体" w:hAnsi="楷体" w:eastAsia="楷体"/>
                <w:szCs w:val="21"/>
              </w:rPr>
              <w:t>业务</w:t>
            </w:r>
          </w:p>
        </w:tc>
        <w:tc>
          <w:tcPr>
            <w:tcW w:w="349" w:type="pct"/>
            <w:vMerge w:val="restart"/>
            <w:tcBorders>
              <w:right w:val="single" w:color="auto" w:sz="4" w:space="0"/>
            </w:tcBorders>
            <w:vAlign w:val="center"/>
          </w:tcPr>
          <w:p>
            <w:pPr>
              <w:rPr>
                <w:rFonts w:ascii="楷体" w:hAnsi="楷体" w:eastAsia="楷体"/>
                <w:szCs w:val="21"/>
              </w:rPr>
            </w:pPr>
            <w:r>
              <w:rPr>
                <w:rFonts w:hint="eastAsia" w:ascii="楷体" w:hAnsi="楷体" w:eastAsia="楷体"/>
                <w:szCs w:val="21"/>
              </w:rPr>
              <w:t>取现</w:t>
            </w:r>
          </w:p>
        </w:tc>
        <w:tc>
          <w:tcPr>
            <w:tcW w:w="1856" w:type="pct"/>
            <w:gridSpan w:val="4"/>
            <w:tcBorders>
              <w:right w:val="single" w:color="auto" w:sz="4" w:space="0"/>
            </w:tcBorders>
            <w:vAlign w:val="center"/>
          </w:tcPr>
          <w:p>
            <w:pPr>
              <w:rPr>
                <w:rFonts w:ascii="楷体_GB2312" w:hAnsi="Times New Roman" w:eastAsia="楷体_GB2312" w:cs="Times New Roman"/>
                <w:szCs w:val="21"/>
              </w:rPr>
            </w:pPr>
            <w:permStart w:id="88" w:edGrp="everyone"/>
            <w:r>
              <w:rPr>
                <w:rFonts w:hint="eastAsia" w:ascii="楷体_GB2312" w:hAnsi="Times New Roman" w:eastAsia="楷体_GB2312" w:cs="Times New Roman"/>
                <w:szCs w:val="21"/>
              </w:rPr>
              <w:sym w:font="Wingdings" w:char="F06F"/>
            </w:r>
            <w:permEnd w:id="88"/>
            <w:r>
              <w:rPr>
                <w:rFonts w:hint="eastAsia" w:ascii="楷体" w:hAnsi="楷体" w:eastAsia="楷体"/>
                <w:szCs w:val="21"/>
              </w:rPr>
              <w:t>T+</w:t>
            </w:r>
            <w:r>
              <w:rPr>
                <w:rFonts w:ascii="楷体" w:hAnsi="楷体" w:eastAsia="楷体"/>
                <w:szCs w:val="21"/>
              </w:rPr>
              <w:t>1</w:t>
            </w:r>
            <w:r>
              <w:rPr>
                <w:rFonts w:hint="eastAsia" w:ascii="楷体_GB2312" w:hAnsi="Times New Roman" w:eastAsia="楷体_GB2312" w:cs="Times New Roman"/>
                <w:szCs w:val="21"/>
              </w:rPr>
              <w:t>日</w:t>
            </w:r>
            <w:permStart w:id="89" w:edGrp="everyone"/>
            <w:r>
              <w:rPr>
                <w:rFonts w:hint="eastAsia" w:ascii="楷体" w:hAnsi="楷体" w:eastAsia="楷体"/>
                <w:szCs w:val="21"/>
              </w:rPr>
              <w:t>每笔</w:t>
            </w:r>
            <w:r>
              <w:rPr>
                <w:rFonts w:hint="eastAsia" w:ascii="楷体" w:hAnsi="楷体" w:eastAsia="楷体"/>
                <w:szCs w:val="21"/>
                <w:u w:val="single"/>
              </w:rPr>
              <w:t xml:space="preserve">     </w:t>
            </w:r>
            <w:r>
              <w:rPr>
                <w:rFonts w:hint="eastAsia" w:ascii="楷体" w:hAnsi="楷体" w:eastAsia="楷体"/>
                <w:szCs w:val="21"/>
              </w:rPr>
              <w:t>元</w:t>
            </w:r>
            <w:permEnd w:id="89"/>
          </w:p>
        </w:tc>
        <w:tc>
          <w:tcPr>
            <w:tcW w:w="1643" w:type="pct"/>
            <w:tcBorders>
              <w:left w:val="single" w:color="auto" w:sz="4" w:space="0"/>
            </w:tcBorders>
            <w:vAlign w:val="center"/>
          </w:tcPr>
          <w:p>
            <w:pPr>
              <w:rPr>
                <w:rFonts w:ascii="楷体" w:hAnsi="楷体" w:eastAsia="楷体"/>
                <w:szCs w:val="21"/>
                <w:u w:val="single"/>
              </w:rPr>
            </w:pPr>
            <w:permStart w:id="90" w:edGrp="everyone"/>
            <w:r>
              <w:rPr>
                <w:rFonts w:hint="eastAsia" w:ascii="楷体_GB2312" w:hAnsi="Times New Roman" w:eastAsia="楷体_GB2312" w:cs="Times New Roman"/>
                <w:szCs w:val="21"/>
              </w:rPr>
              <w:sym w:font="Wingdings" w:char="F06F"/>
            </w:r>
            <w:permEnd w:id="90"/>
            <w:r>
              <w:rPr>
                <w:rFonts w:ascii="楷体_GB2312" w:hAnsi="Times New Roman" w:eastAsia="楷体_GB2312" w:cs="Times New Roman"/>
                <w:szCs w:val="21"/>
              </w:rPr>
              <w:t>T</w:t>
            </w:r>
            <w:r>
              <w:rPr>
                <w:rFonts w:hint="eastAsia" w:ascii="楷体_GB2312" w:hAnsi="Times New Roman" w:eastAsia="楷体_GB2312" w:cs="Times New Roman"/>
                <w:szCs w:val="21"/>
              </w:rPr>
              <w:t>日</w:t>
            </w:r>
            <w:permStart w:id="91" w:edGrp="everyone"/>
            <w:r>
              <w:rPr>
                <w:rFonts w:ascii="楷体" w:hAnsi="楷体" w:eastAsia="楷体"/>
                <w:szCs w:val="21"/>
                <w:u w:val="single"/>
              </w:rPr>
              <w:t xml:space="preserve">     </w:t>
            </w:r>
            <w:permEnd w:id="91"/>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jc w:val="center"/>
              <w:rPr>
                <w:rFonts w:ascii="楷体" w:hAnsi="楷体" w:eastAsia="楷体"/>
                <w:szCs w:val="21"/>
              </w:rPr>
            </w:pPr>
          </w:p>
        </w:tc>
        <w:tc>
          <w:tcPr>
            <w:tcW w:w="349" w:type="pct"/>
            <w:vMerge w:val="continue"/>
            <w:tcBorders>
              <w:right w:val="single" w:color="auto" w:sz="4" w:space="0"/>
            </w:tcBorders>
            <w:vAlign w:val="center"/>
          </w:tcPr>
          <w:p>
            <w:pPr>
              <w:rPr>
                <w:rFonts w:ascii="楷体" w:hAnsi="楷体" w:eastAsia="楷体"/>
                <w:szCs w:val="21"/>
              </w:rPr>
            </w:pPr>
          </w:p>
        </w:tc>
        <w:tc>
          <w:tcPr>
            <w:tcW w:w="1856" w:type="pct"/>
            <w:gridSpan w:val="4"/>
            <w:tcBorders>
              <w:right w:val="single" w:color="auto" w:sz="4" w:space="0"/>
            </w:tcBorders>
            <w:vAlign w:val="center"/>
          </w:tcPr>
          <w:p>
            <w:pPr>
              <w:rPr>
                <w:rFonts w:ascii="楷体" w:hAnsi="楷体" w:eastAsia="楷体"/>
                <w:szCs w:val="21"/>
              </w:rPr>
            </w:pPr>
            <w:permStart w:id="92" w:edGrp="everyone"/>
            <w:r>
              <w:rPr>
                <w:rFonts w:hint="eastAsia" w:ascii="楷体_GB2312" w:hAnsi="Times New Roman" w:eastAsia="楷体_GB2312" w:cs="Times New Roman"/>
                <w:szCs w:val="21"/>
              </w:rPr>
              <w:sym w:font="Wingdings" w:char="F06F"/>
            </w:r>
            <w:permEnd w:id="92"/>
            <w:r>
              <w:rPr>
                <w:rFonts w:ascii="楷体_GB2312" w:hAnsi="Times New Roman" w:eastAsia="楷体_GB2312" w:cs="Times New Roman"/>
                <w:szCs w:val="21"/>
              </w:rPr>
              <w:t>D</w:t>
            </w:r>
            <w:r>
              <w:rPr>
                <w:rFonts w:hint="eastAsia" w:ascii="楷体_GB2312" w:hAnsi="Times New Roman" w:eastAsia="楷体_GB2312" w:cs="Times New Roman"/>
                <w:szCs w:val="21"/>
              </w:rPr>
              <w:t>+</w:t>
            </w:r>
            <w:r>
              <w:rPr>
                <w:rFonts w:ascii="楷体_GB2312" w:hAnsi="Times New Roman" w:eastAsia="楷体_GB2312" w:cs="Times New Roman"/>
                <w:szCs w:val="21"/>
              </w:rPr>
              <w:t>0</w:t>
            </w:r>
            <w:r>
              <w:rPr>
                <w:rFonts w:hint="eastAsia" w:ascii="楷体_GB2312" w:hAnsi="Times New Roman" w:eastAsia="楷体_GB2312" w:cs="Times New Roman"/>
                <w:szCs w:val="21"/>
              </w:rPr>
              <w:t>日</w:t>
            </w:r>
            <w:permStart w:id="93" w:edGrp="everyone"/>
            <w:r>
              <w:rPr>
                <w:rFonts w:ascii="楷体" w:hAnsi="楷体" w:eastAsia="楷体"/>
                <w:szCs w:val="21"/>
                <w:u w:val="single"/>
              </w:rPr>
              <w:t xml:space="preserve">    </w:t>
            </w:r>
            <w:permEnd w:id="93"/>
          </w:p>
        </w:tc>
        <w:tc>
          <w:tcPr>
            <w:tcW w:w="1643" w:type="pct"/>
            <w:tcBorders>
              <w:left w:val="single" w:color="auto" w:sz="4" w:space="0"/>
            </w:tcBorders>
            <w:vAlign w:val="center"/>
          </w:tcPr>
          <w:p>
            <w:pPr>
              <w:rPr>
                <w:rFonts w:ascii="楷体" w:hAnsi="楷体" w:eastAsia="楷体"/>
                <w:szCs w:val="21"/>
              </w:rPr>
            </w:pPr>
            <w:permStart w:id="94" w:edGrp="everyone"/>
            <w:r>
              <w:rPr>
                <w:rFonts w:hint="eastAsia" w:ascii="楷体_GB2312" w:hAnsi="Times New Roman" w:eastAsia="楷体_GB2312" w:cs="Times New Roman"/>
                <w:szCs w:val="21"/>
              </w:rPr>
              <w:sym w:font="Wingdings" w:char="F06F"/>
            </w:r>
            <w:r>
              <w:rPr>
                <w:rFonts w:hint="eastAsia" w:ascii="楷体_GB2312" w:hAnsi="Times New Roman" w:eastAsia="楷体_GB2312" w:cs="Times New Roman"/>
                <w:szCs w:val="21"/>
              </w:rPr>
              <w:t>自定义时间</w:t>
            </w:r>
            <w:r>
              <w:rPr>
                <w:rFonts w:ascii="楷体" w:hAnsi="楷体" w:eastAsia="楷体"/>
                <w:szCs w:val="21"/>
                <w:u w:val="single"/>
              </w:rPr>
              <w:t xml:space="preserve">   /  </w:t>
            </w:r>
            <w:permEnd w:id="94"/>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jc w:val="center"/>
              <w:rPr>
                <w:rFonts w:ascii="楷体" w:hAnsi="楷体" w:eastAsia="楷体"/>
                <w:szCs w:val="21"/>
              </w:rPr>
            </w:pPr>
          </w:p>
        </w:tc>
        <w:tc>
          <w:tcPr>
            <w:tcW w:w="349" w:type="pct"/>
            <w:tcBorders>
              <w:right w:val="single" w:color="auto" w:sz="4" w:space="0"/>
            </w:tcBorders>
            <w:vAlign w:val="center"/>
          </w:tcPr>
          <w:p>
            <w:pPr>
              <w:rPr>
                <w:rFonts w:ascii="楷体" w:hAnsi="楷体" w:eastAsia="楷体"/>
                <w:szCs w:val="21"/>
              </w:rPr>
            </w:pPr>
            <w:r>
              <w:rPr>
                <w:rFonts w:hint="eastAsia" w:ascii="楷体" w:hAnsi="楷体" w:eastAsia="楷体"/>
                <w:szCs w:val="21"/>
              </w:rPr>
              <w:t>分账</w:t>
            </w:r>
          </w:p>
        </w:tc>
        <w:tc>
          <w:tcPr>
            <w:tcW w:w="3498" w:type="pct"/>
            <w:gridSpan w:val="5"/>
            <w:vAlign w:val="center"/>
          </w:tcPr>
          <w:p>
            <w:pPr>
              <w:rPr>
                <w:rFonts w:ascii="楷体" w:hAnsi="楷体" w:eastAsia="楷体"/>
                <w:szCs w:val="21"/>
              </w:rPr>
            </w:pPr>
            <w:r>
              <w:rPr>
                <w:rFonts w:hint="eastAsia" w:ascii="楷体_GB2312" w:hAnsi="Times New Roman" w:eastAsia="楷体_GB2312" w:cs="Times New Roman"/>
                <w:szCs w:val="21"/>
              </w:rPr>
              <w:t>是否开通分账</w:t>
            </w:r>
            <w:permStart w:id="95" w:edGrp="everyone"/>
            <w:r>
              <w:rPr>
                <w:rFonts w:hint="eastAsia" w:ascii="楷体" w:hAnsi="楷体" w:eastAsia="楷体"/>
                <w:szCs w:val="21"/>
              </w:rPr>
              <w:sym w:font="Wingdings" w:char="F0A8"/>
            </w:r>
            <w:permEnd w:id="95"/>
            <w:r>
              <w:rPr>
                <w:rFonts w:hint="eastAsia" w:ascii="楷体" w:hAnsi="楷体" w:eastAsia="楷体"/>
                <w:szCs w:val="21"/>
              </w:rPr>
              <w:t>是：</w:t>
            </w:r>
            <w:permStart w:id="96" w:edGrp="everyone"/>
            <w:r>
              <w:rPr>
                <w:rFonts w:ascii="楷体" w:hAnsi="楷体" w:eastAsia="楷体"/>
                <w:szCs w:val="21"/>
              </w:rPr>
              <w:t>每笔</w:t>
            </w:r>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元</w:t>
            </w:r>
            <w:permEnd w:id="96"/>
            <w:r>
              <w:rPr>
                <w:rFonts w:ascii="楷体" w:hAnsi="楷体" w:eastAsia="楷体"/>
                <w:szCs w:val="21"/>
              </w:rPr>
              <w:t xml:space="preserve"> </w:t>
            </w:r>
            <w:r>
              <w:rPr>
                <w:rFonts w:hint="eastAsia" w:ascii="楷体" w:hAnsi="楷体" w:eastAsia="楷体"/>
                <w:szCs w:val="21"/>
              </w:rPr>
              <w:t xml:space="preserve"> </w:t>
            </w:r>
            <w:permStart w:id="97" w:edGrp="everyone"/>
            <w:r>
              <w:rPr>
                <w:rFonts w:hint="eastAsia" w:ascii="楷体" w:hAnsi="楷体" w:eastAsia="楷体"/>
                <w:szCs w:val="21"/>
              </w:rPr>
              <w:sym w:font="Wingdings" w:char="F0A8"/>
            </w:r>
            <w:permEnd w:id="97"/>
            <w:r>
              <w:rPr>
                <w:rFonts w:hint="eastAsia" w:ascii="楷体" w:hAnsi="楷体" w:eastAsia="楷体"/>
                <w:szCs w:val="21"/>
              </w:rPr>
              <w:t>否</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412" w:hRule="atLeast"/>
        </w:trPr>
        <w:tc>
          <w:tcPr>
            <w:tcW w:w="198" w:type="pct"/>
            <w:vMerge w:val="continue"/>
            <w:vAlign w:val="center"/>
          </w:tcPr>
          <w:p>
            <w:pPr>
              <w:jc w:val="center"/>
              <w:rPr>
                <w:rFonts w:ascii="楷体" w:hAnsi="楷体" w:eastAsia="楷体"/>
                <w:szCs w:val="21"/>
              </w:rPr>
            </w:pPr>
          </w:p>
        </w:tc>
        <w:tc>
          <w:tcPr>
            <w:tcW w:w="954" w:type="pct"/>
            <w:gridSpan w:val="2"/>
            <w:vAlign w:val="center"/>
          </w:tcPr>
          <w:p>
            <w:pPr>
              <w:rPr>
                <w:rFonts w:ascii="楷体" w:hAnsi="楷体" w:eastAsia="楷体"/>
                <w:szCs w:val="21"/>
              </w:rPr>
            </w:pPr>
            <w:r>
              <w:rPr>
                <w:rFonts w:hint="eastAsia" w:ascii="楷体" w:hAnsi="楷体" w:eastAsia="楷体"/>
                <w:szCs w:val="21"/>
              </w:rPr>
              <w:t>附加功能选项</w:t>
            </w:r>
          </w:p>
        </w:tc>
        <w:tc>
          <w:tcPr>
            <w:tcW w:w="3847" w:type="pct"/>
            <w:gridSpan w:val="6"/>
            <w:vAlign w:val="center"/>
          </w:tcPr>
          <w:p>
            <w:pPr>
              <w:rPr>
                <w:rFonts w:ascii="楷体" w:hAnsi="楷体" w:eastAsia="楷体"/>
                <w:szCs w:val="21"/>
              </w:rPr>
            </w:pPr>
            <w:permStart w:id="98" w:edGrp="everyone"/>
            <w:r>
              <w:rPr>
                <w:rFonts w:hint="eastAsia" w:ascii="楷体" w:hAnsi="楷体" w:eastAsia="楷体"/>
                <w:szCs w:val="21"/>
              </w:rPr>
              <w:sym w:font="Wingdings" w:char="F0A8"/>
            </w:r>
            <w:permEnd w:id="98"/>
            <w:r>
              <w:rPr>
                <w:rFonts w:hint="eastAsia" w:ascii="楷体" w:hAnsi="楷体" w:eastAsia="楷体"/>
                <w:szCs w:val="21"/>
              </w:rPr>
              <w:t xml:space="preserve">开通专属账户  </w:t>
            </w:r>
            <w:permStart w:id="99" w:edGrp="everyone"/>
            <w:r>
              <w:rPr>
                <w:rFonts w:hint="eastAsia" w:ascii="楷体" w:hAnsi="楷体" w:eastAsia="楷体"/>
                <w:szCs w:val="21"/>
              </w:rPr>
              <w:sym w:font="Wingdings" w:char="F0A8"/>
            </w:r>
            <w:permEnd w:id="99"/>
            <w:r>
              <w:rPr>
                <w:rFonts w:hint="eastAsia" w:ascii="楷体" w:hAnsi="楷体" w:eastAsia="楷体"/>
                <w:szCs w:val="21"/>
              </w:rPr>
              <w:t>其他</w:t>
            </w:r>
            <w:permStart w:id="100" w:edGrp="everyone"/>
            <w:r>
              <w:rPr>
                <w:rFonts w:hint="eastAsia" w:ascii="楷体" w:hAnsi="楷体" w:eastAsia="楷体"/>
                <w:szCs w:val="21"/>
              </w:rPr>
              <w:t>______________</w:t>
            </w:r>
            <w:permEnd w:id="100"/>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403" w:hRule="atLeast"/>
        </w:trPr>
        <w:tc>
          <w:tcPr>
            <w:tcW w:w="198" w:type="pct"/>
            <w:vMerge w:val="continue"/>
          </w:tcPr>
          <w:p>
            <w:pPr>
              <w:rPr>
                <w:rFonts w:ascii="楷体" w:hAnsi="楷体" w:eastAsia="楷体"/>
                <w:szCs w:val="21"/>
              </w:rPr>
            </w:pPr>
          </w:p>
        </w:tc>
        <w:tc>
          <w:tcPr>
            <w:tcW w:w="954" w:type="pct"/>
            <w:gridSpan w:val="2"/>
            <w:vAlign w:val="center"/>
          </w:tcPr>
          <w:p>
            <w:pPr>
              <w:jc w:val="center"/>
              <w:rPr>
                <w:rFonts w:ascii="楷体" w:hAnsi="楷体" w:eastAsia="楷体"/>
                <w:color w:val="FF0000"/>
                <w:szCs w:val="21"/>
              </w:rPr>
            </w:pPr>
            <w:r>
              <w:rPr>
                <w:rFonts w:hint="eastAsia" w:ascii="楷体" w:hAnsi="楷体" w:eastAsia="楷体"/>
                <w:color w:val="000000"/>
                <w:szCs w:val="21"/>
              </w:rPr>
              <w:t>受理终端布放地址</w:t>
            </w:r>
          </w:p>
        </w:tc>
        <w:tc>
          <w:tcPr>
            <w:tcW w:w="3847" w:type="pct"/>
            <w:gridSpan w:val="6"/>
          </w:tcPr>
          <w:p>
            <w:pPr>
              <w:jc w:val="left"/>
              <w:rPr>
                <w:rFonts w:ascii="楷体" w:hAnsi="楷体" w:eastAsia="楷体"/>
                <w:color w:val="FF0000"/>
                <w:szCs w:val="21"/>
                <w:u w:val="single"/>
              </w:rPr>
            </w:pPr>
            <w:permStart w:id="101" w:edGrp="everyone"/>
            <w:r>
              <w:rPr>
                <w:rFonts w:hint="eastAsia" w:ascii="楷体" w:hAnsi="楷体" w:eastAsia="楷体"/>
                <w:szCs w:val="21"/>
                <w:u w:val="single"/>
              </w:rPr>
              <w:t xml:space="preserve">     </w:t>
            </w:r>
            <w:r>
              <w:rPr>
                <w:rFonts w:ascii="楷体" w:hAnsi="楷体" w:eastAsia="楷体"/>
                <w:szCs w:val="21"/>
                <w:u w:val="single"/>
              </w:rPr>
              <w:t xml:space="preserve">                                                   </w:t>
            </w:r>
            <w:permEnd w:id="101"/>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403" w:hRule="atLeast"/>
        </w:trPr>
        <w:tc>
          <w:tcPr>
            <w:tcW w:w="5000" w:type="pct"/>
            <w:gridSpan w:val="9"/>
          </w:tcPr>
          <w:p>
            <w:pPr>
              <w:jc w:val="left"/>
              <w:rPr>
                <w:rFonts w:ascii="楷体" w:hAnsi="楷体" w:eastAsia="楷体"/>
                <w:szCs w:val="21"/>
              </w:rPr>
            </w:pPr>
            <w:r>
              <w:rPr>
                <w:rFonts w:hint="eastAsia" w:ascii="楷体" w:hAnsi="楷体" w:eastAsia="楷体"/>
                <w:szCs w:val="21"/>
              </w:rPr>
              <w:t>备注：*条码支付银联大额交易指交易金额大于1</w:t>
            </w:r>
            <w:r>
              <w:rPr>
                <w:rFonts w:ascii="楷体" w:hAnsi="楷体" w:eastAsia="楷体"/>
                <w:szCs w:val="21"/>
              </w:rPr>
              <w:t>000</w:t>
            </w:r>
            <w:r>
              <w:rPr>
                <w:rFonts w:hint="eastAsia" w:ascii="楷体" w:hAnsi="楷体" w:eastAsia="楷体"/>
                <w:szCs w:val="21"/>
              </w:rPr>
              <w:t>元的交易，小额交易指交易金额小于等于1</w:t>
            </w:r>
            <w:r>
              <w:rPr>
                <w:rFonts w:ascii="楷体" w:hAnsi="楷体" w:eastAsia="楷体"/>
                <w:szCs w:val="21"/>
              </w:rPr>
              <w:t>000</w:t>
            </w:r>
            <w:r>
              <w:rPr>
                <w:rFonts w:hint="eastAsia" w:ascii="楷体" w:hAnsi="楷体" w:eastAsia="楷体"/>
                <w:szCs w:val="21"/>
              </w:rPr>
              <w:t>元的交易。</w:t>
            </w:r>
          </w:p>
          <w:p>
            <w:pPr>
              <w:jc w:val="left"/>
              <w:rPr>
                <w:rFonts w:ascii="楷体" w:hAnsi="楷体" w:eastAsia="楷体"/>
                <w:szCs w:val="21"/>
              </w:rPr>
            </w:pPr>
            <w:r>
              <w:rPr>
                <w:rFonts w:hint="eastAsia" w:ascii="楷体" w:hAnsi="楷体" w:eastAsia="楷体"/>
                <w:szCs w:val="21"/>
              </w:rPr>
              <w:t xml:space="preserve"> </w:t>
            </w:r>
            <w:r>
              <w:rPr>
                <w:rFonts w:ascii="楷体" w:hAnsi="楷体" w:eastAsia="楷体"/>
                <w:szCs w:val="21"/>
              </w:rPr>
              <w:t xml:space="preserve">     </w:t>
            </w:r>
            <w:r>
              <w:rPr>
                <w:rFonts w:hint="eastAsia" w:ascii="楷体" w:hAnsi="楷体" w:eastAsia="楷体"/>
                <w:szCs w:val="21"/>
              </w:rPr>
              <w:t>*甲方应理解是否开通分账及专属账户功能，应以乙方控台配置为准。</w:t>
            </w:r>
          </w:p>
          <w:p>
            <w:pPr>
              <w:ind w:firstLine="630" w:firstLineChars="300"/>
              <w:jc w:val="left"/>
              <w:rPr>
                <w:rFonts w:ascii="楷体" w:hAnsi="楷体" w:eastAsia="楷体"/>
                <w:szCs w:val="21"/>
              </w:rPr>
            </w:pPr>
            <w:r>
              <w:rPr>
                <w:rFonts w:hint="eastAsia" w:ascii="楷体" w:hAnsi="楷体" w:eastAsia="楷体"/>
                <w:szCs w:val="21"/>
              </w:rPr>
              <w:t>*</w:t>
            </w:r>
            <w:r>
              <w:rPr>
                <w:rFonts w:ascii="楷体" w:hAnsi="楷体" w:eastAsia="楷体"/>
                <w:szCs w:val="21"/>
              </w:rPr>
              <w:t>I</w:t>
            </w:r>
            <w:r>
              <w:rPr>
                <w:rFonts w:hint="eastAsia" w:ascii="楷体" w:hAnsi="楷体" w:eastAsia="楷体"/>
                <w:szCs w:val="21"/>
              </w:rPr>
              <w:t>/II/III类银行分类具体以《银行分类表》为准。</w:t>
            </w:r>
          </w:p>
        </w:tc>
      </w:tr>
    </w:tbl>
    <w:p>
      <w:pPr>
        <w:pStyle w:val="12"/>
        <w:numPr>
          <w:ilvl w:val="0"/>
          <w:numId w:val="1"/>
        </w:numPr>
        <w:ind w:firstLineChars="0"/>
        <w:rPr>
          <w:rFonts w:ascii="楷体" w:hAnsi="楷体" w:eastAsia="楷体"/>
          <w:szCs w:val="21"/>
        </w:rPr>
      </w:pPr>
      <w:r>
        <w:rPr>
          <w:rFonts w:ascii="楷体" w:hAnsi="楷体" w:eastAsia="楷体"/>
          <w:szCs w:val="21"/>
        </w:rPr>
        <w:t>乙方有权根据法律法规</w:t>
      </w:r>
      <w:r>
        <w:rPr>
          <w:rFonts w:hint="eastAsia" w:ascii="楷体" w:hAnsi="楷体" w:eastAsia="楷体"/>
          <w:szCs w:val="21"/>
        </w:rPr>
        <w:t>、银联/支付宝/微信政策或业务发展需求变更</w:t>
      </w:r>
      <w:r>
        <w:rPr>
          <w:rFonts w:ascii="楷体" w:hAnsi="楷体" w:eastAsia="楷体"/>
          <w:szCs w:val="21"/>
        </w:rPr>
        <w:t>上述手续费率</w:t>
      </w:r>
      <w:r>
        <w:rPr>
          <w:rFonts w:hint="eastAsia" w:ascii="楷体" w:hAnsi="楷体" w:eastAsia="楷体"/>
          <w:szCs w:val="21"/>
        </w:rPr>
        <w:t>，</w:t>
      </w:r>
      <w:r>
        <w:rPr>
          <w:rFonts w:ascii="楷体" w:hAnsi="楷体" w:eastAsia="楷体"/>
          <w:szCs w:val="21"/>
        </w:rPr>
        <w:t>但应通过首页地址或电子邮箱提前</w:t>
      </w:r>
      <w:r>
        <w:rPr>
          <w:rFonts w:hint="eastAsia" w:ascii="楷体" w:hAnsi="楷体" w:eastAsia="楷体"/>
          <w:szCs w:val="21"/>
        </w:rPr>
        <w:t>1</w:t>
      </w:r>
      <w:r>
        <w:rPr>
          <w:rFonts w:ascii="楷体" w:hAnsi="楷体" w:eastAsia="楷体"/>
          <w:szCs w:val="21"/>
        </w:rPr>
        <w:t>5日通知甲方</w:t>
      </w:r>
      <w:r>
        <w:rPr>
          <w:rFonts w:hint="eastAsia" w:ascii="楷体" w:hAnsi="楷体" w:eastAsia="楷体"/>
          <w:szCs w:val="21"/>
        </w:rPr>
        <w:t>。自乙方发出通知后5日内，若甲方未提出异议，则视为甲方同意变更手续费率。</w:t>
      </w:r>
      <w:r>
        <w:rPr>
          <w:rFonts w:ascii="楷体" w:hAnsi="楷体" w:eastAsia="楷体"/>
          <w:szCs w:val="21"/>
        </w:rPr>
        <w:t>若甲方不同意变更手续费率</w:t>
      </w:r>
      <w:r>
        <w:rPr>
          <w:rFonts w:hint="eastAsia" w:ascii="楷体" w:hAnsi="楷体" w:eastAsia="楷体"/>
          <w:szCs w:val="21"/>
        </w:rPr>
        <w:t>，则乙方有权单方终止本协议。</w:t>
      </w:r>
    </w:p>
    <w:p>
      <w:pPr>
        <w:pStyle w:val="12"/>
        <w:numPr>
          <w:ilvl w:val="0"/>
          <w:numId w:val="1"/>
        </w:numPr>
        <w:ind w:firstLineChars="0"/>
        <w:rPr>
          <w:rFonts w:ascii="楷体" w:hAnsi="楷体" w:eastAsia="楷体"/>
          <w:szCs w:val="21"/>
        </w:rPr>
      </w:pPr>
      <w:r>
        <w:rPr>
          <w:rFonts w:hint="eastAsia" w:ascii="楷体" w:hAnsi="楷体" w:eastAsia="楷体"/>
          <w:szCs w:val="21"/>
        </w:rPr>
        <w:t>本协议自甲乙双方盖章之日起生效，有效期至</w:t>
      </w:r>
      <w:permStart w:id="102" w:edGrp="everyone"/>
      <w:r>
        <w:rPr>
          <w:rFonts w:ascii="楷体" w:hAnsi="楷体" w:eastAsia="楷体"/>
          <w:szCs w:val="21"/>
        </w:rPr>
        <w:t>2022</w:t>
      </w:r>
      <w:permEnd w:id="102"/>
      <w:r>
        <w:rPr>
          <w:rFonts w:hint="eastAsia" w:ascii="楷体" w:hAnsi="楷体" w:eastAsia="楷体"/>
          <w:szCs w:val="21"/>
        </w:rPr>
        <w:t>年1</w:t>
      </w:r>
      <w:r>
        <w:rPr>
          <w:rFonts w:ascii="楷体" w:hAnsi="楷体" w:eastAsia="楷体"/>
          <w:szCs w:val="21"/>
        </w:rPr>
        <w:t>2</w:t>
      </w:r>
      <w:r>
        <w:rPr>
          <w:rFonts w:hint="eastAsia" w:ascii="楷体" w:hAnsi="楷体" w:eastAsia="楷体"/>
          <w:szCs w:val="21"/>
        </w:rPr>
        <w:t>月3</w:t>
      </w:r>
      <w:r>
        <w:rPr>
          <w:rFonts w:ascii="楷体" w:hAnsi="楷体" w:eastAsia="楷体"/>
          <w:szCs w:val="21"/>
        </w:rPr>
        <w:t>1</w:t>
      </w:r>
      <w:r>
        <w:rPr>
          <w:rFonts w:hint="eastAsia" w:ascii="楷体" w:hAnsi="楷体" w:eastAsia="楷体"/>
          <w:szCs w:val="21"/>
        </w:rPr>
        <w:t>日。</w:t>
      </w:r>
    </w:p>
    <w:p>
      <w:pPr>
        <w:pStyle w:val="12"/>
        <w:numPr>
          <w:ilvl w:val="0"/>
          <w:numId w:val="1"/>
        </w:numPr>
        <w:ind w:firstLineChars="0"/>
        <w:rPr>
          <w:rFonts w:ascii="楷体" w:hAnsi="楷体" w:eastAsia="楷体"/>
          <w:szCs w:val="21"/>
        </w:rPr>
      </w:pPr>
      <w:r>
        <w:rPr>
          <w:rFonts w:hint="eastAsia" w:ascii="楷体" w:hAnsi="楷体" w:eastAsia="楷体"/>
          <w:szCs w:val="21"/>
        </w:rPr>
        <w:t>截至本协议有效期届满30天前，如甲乙双方中任何一方均未以书面形式向对方提出终止本协议或发出不自动续约通知的，则本协议有效期届满日的次日起自动延续壹年，仅限延续壹次。</w:t>
      </w:r>
    </w:p>
    <w:p>
      <w:pPr>
        <w:rPr>
          <w:rFonts w:ascii="楷体" w:hAnsi="楷体" w:eastAsia="楷体"/>
          <w:szCs w:val="21"/>
        </w:rPr>
      </w:pPr>
    </w:p>
    <w:p>
      <w:pPr>
        <w:rPr>
          <w:rFonts w:ascii="楷体" w:hAnsi="楷体" w:eastAsia="楷体"/>
          <w:b/>
          <w:szCs w:val="21"/>
        </w:rPr>
      </w:pPr>
      <w:r>
        <w:rPr>
          <w:rFonts w:hint="eastAsia" w:ascii="楷体" w:hAnsi="楷体" w:eastAsia="楷体"/>
          <w:b/>
          <w:szCs w:val="21"/>
        </w:rPr>
        <w:t xml:space="preserve">甲方（盖章）：                             </w:t>
      </w:r>
      <w:r>
        <w:rPr>
          <w:rFonts w:ascii="楷体" w:hAnsi="楷体" w:eastAsia="楷体"/>
          <w:b/>
          <w:szCs w:val="21"/>
        </w:rPr>
        <w:t xml:space="preserve">              </w:t>
      </w:r>
      <w:r>
        <w:rPr>
          <w:rFonts w:hint="eastAsia" w:ascii="楷体" w:hAnsi="楷体" w:eastAsia="楷体"/>
          <w:b/>
          <w:szCs w:val="21"/>
        </w:rPr>
        <w:t>乙方（盖章）：上海汇付数据服务有限公司</w:t>
      </w:r>
    </w:p>
    <w:p>
      <w:pPr>
        <w:rPr>
          <w:rFonts w:ascii="楷体" w:hAnsi="楷体" w:eastAsia="楷体"/>
          <w:szCs w:val="21"/>
        </w:rPr>
      </w:pPr>
      <w:r>
        <w:rPr>
          <w:rFonts w:hint="eastAsia" w:ascii="楷体" w:hAnsi="楷体" w:eastAsia="楷体"/>
          <w:szCs w:val="21"/>
        </w:rPr>
        <w:t>法定代表人(或授权代表人)签字：</w:t>
      </w:r>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 xml:space="preserve">          </w:t>
      </w:r>
      <w:r>
        <w:rPr>
          <w:rFonts w:hint="eastAsia" w:ascii="楷体" w:hAnsi="楷体" w:eastAsia="楷体"/>
          <w:szCs w:val="21"/>
        </w:rPr>
        <w:t>法定代表人(或授权代表人)签字：</w:t>
      </w:r>
      <w:r>
        <w:rPr>
          <w:rFonts w:hint="eastAsia" w:ascii="楷体" w:hAnsi="楷体" w:eastAsia="楷体"/>
          <w:szCs w:val="21"/>
          <w:u w:val="single"/>
        </w:rPr>
        <w:t xml:space="preserve"> </w:t>
      </w:r>
      <w:r>
        <w:rPr>
          <w:rFonts w:ascii="楷体" w:hAnsi="楷体" w:eastAsia="楷体"/>
          <w:szCs w:val="21"/>
          <w:u w:val="single"/>
        </w:rPr>
        <w:t xml:space="preserve">              </w:t>
      </w:r>
    </w:p>
    <w:p>
      <w:pPr>
        <w:jc w:val="right"/>
        <w:rPr>
          <w:rFonts w:ascii="楷体" w:hAnsi="楷体" w:eastAsia="楷体"/>
          <w:szCs w:val="21"/>
        </w:rPr>
      </w:pPr>
    </w:p>
    <w:p>
      <w:pPr>
        <w:jc w:val="right"/>
        <w:rPr>
          <w:rFonts w:ascii="楷体" w:hAnsi="楷体" w:eastAsia="楷体"/>
          <w:szCs w:val="21"/>
        </w:rPr>
      </w:pPr>
      <w:r>
        <w:rPr>
          <w:rFonts w:hint="eastAsia" w:ascii="楷体" w:hAnsi="楷体" w:eastAsia="楷体"/>
          <w:szCs w:val="21"/>
        </w:rPr>
        <w:t>签署日期：</w:t>
      </w:r>
      <w:permStart w:id="103" w:edGrp="everyone"/>
      <w:r>
        <w:rPr>
          <w:rFonts w:hint="eastAsia" w:ascii="楷体" w:hAnsi="楷体" w:eastAsia="楷体"/>
          <w:szCs w:val="21"/>
        </w:rPr>
        <w:t xml:space="preserve">     </w:t>
      </w:r>
      <w:permEnd w:id="103"/>
      <w:r>
        <w:rPr>
          <w:rFonts w:hint="eastAsia" w:ascii="楷体" w:hAnsi="楷体" w:eastAsia="楷体"/>
          <w:szCs w:val="21"/>
        </w:rPr>
        <w:t>年</w:t>
      </w:r>
      <w:permStart w:id="104" w:edGrp="everyone"/>
      <w:r>
        <w:rPr>
          <w:rFonts w:hint="eastAsia" w:ascii="楷体" w:hAnsi="楷体" w:eastAsia="楷体"/>
          <w:szCs w:val="21"/>
        </w:rPr>
        <w:t xml:space="preserve">    </w:t>
      </w:r>
      <w:permEnd w:id="104"/>
      <w:r>
        <w:rPr>
          <w:rFonts w:hint="eastAsia" w:ascii="楷体" w:hAnsi="楷体" w:eastAsia="楷体"/>
          <w:szCs w:val="21"/>
        </w:rPr>
        <w:t>月</w:t>
      </w:r>
      <w:permStart w:id="105" w:edGrp="everyone"/>
      <w:r>
        <w:rPr>
          <w:rFonts w:hint="eastAsia" w:ascii="楷体" w:hAnsi="楷体" w:eastAsia="楷体"/>
          <w:szCs w:val="21"/>
        </w:rPr>
        <w:t xml:space="preserve">   </w:t>
      </w:r>
      <w:permEnd w:id="105"/>
      <w:r>
        <w:rPr>
          <w:rFonts w:hint="eastAsia" w:ascii="楷体" w:hAnsi="楷体" w:eastAsia="楷体"/>
          <w:szCs w:val="21"/>
        </w:rPr>
        <w:t>日</w:t>
      </w:r>
    </w:p>
    <w:p>
      <w:pPr>
        <w:ind w:right="840"/>
        <w:rPr>
          <w:rFonts w:ascii="楷体" w:hAnsi="楷体" w:eastAsia="楷体"/>
          <w:szCs w:val="21"/>
        </w:rPr>
      </w:pPr>
      <w:r>
        <w:rPr>
          <w:rFonts w:ascii="楷体" w:hAnsi="楷体" w:eastAsia="楷体"/>
          <w:szCs w:val="21"/>
        </w:rPr>
        <w:br w:type="page"/>
      </w:r>
    </w:p>
    <w:p>
      <w:pPr>
        <w:jc w:val="center"/>
        <w:rPr>
          <w:rFonts w:ascii="楷体" w:hAnsi="楷体" w:eastAsia="楷体" w:cs="Times New Roman"/>
          <w:b/>
          <w:sz w:val="32"/>
          <w:szCs w:val="32"/>
        </w:rPr>
      </w:pPr>
      <w:r>
        <w:rPr>
          <w:rFonts w:hint="eastAsia" w:ascii="楷体" w:hAnsi="楷体" w:eastAsia="楷体" w:cs="Times New Roman"/>
          <w:b/>
          <w:sz w:val="32"/>
          <w:szCs w:val="32"/>
        </w:rPr>
        <w:t>银行分类表</w:t>
      </w:r>
    </w:p>
    <w:tbl>
      <w:tblPr>
        <w:tblStyle w:val="8"/>
        <w:tblW w:w="8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287"/>
        <w:gridCol w:w="5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shd w:val="clear" w:color="auto" w:fill="D8D8D8" w:themeFill="background1" w:themeFillShade="D9"/>
            <w:noWrap/>
            <w:tcMar>
              <w:top w:w="0" w:type="dxa"/>
              <w:left w:w="108" w:type="dxa"/>
              <w:bottom w:w="0" w:type="dxa"/>
              <w:right w:w="108" w:type="dxa"/>
            </w:tcMar>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交易类型</w:t>
            </w:r>
          </w:p>
        </w:tc>
        <w:tc>
          <w:tcPr>
            <w:tcW w:w="3685" w:type="dxa"/>
            <w:shd w:val="clear" w:color="auto" w:fill="D8D8D8" w:themeFill="background1" w:themeFillShade="D9"/>
            <w:vAlign w:val="center"/>
          </w:tcPr>
          <w:p>
            <w:pPr>
              <w:snapToGrid w:val="0"/>
              <w:jc w:val="center"/>
              <w:rPr>
                <w:rFonts w:ascii="楷体" w:hAnsi="楷体" w:eastAsia="楷体"/>
                <w:b/>
                <w:bCs/>
                <w:color w:val="000000"/>
                <w:sz w:val="24"/>
                <w:szCs w:val="24"/>
              </w:rPr>
            </w:pPr>
            <w:r>
              <w:rPr>
                <w:rFonts w:ascii="楷体" w:hAnsi="楷体" w:eastAsia="楷体"/>
                <w:b/>
                <w:bCs/>
                <w:color w:val="000000"/>
                <w:sz w:val="24"/>
                <w:szCs w:val="24"/>
              </w:rPr>
              <w:t>对应银行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restart"/>
            <w:noWrap/>
            <w:tcMar>
              <w:top w:w="0" w:type="dxa"/>
              <w:left w:w="108" w:type="dxa"/>
              <w:bottom w:w="0" w:type="dxa"/>
              <w:right w:w="108" w:type="dxa"/>
            </w:tcMar>
            <w:vAlign w:val="center"/>
          </w:tcPr>
          <w:p>
            <w:pPr>
              <w:jc w:val="center"/>
              <w:rPr>
                <w:rFonts w:ascii="楷体" w:hAnsi="楷体" w:eastAsia="楷体"/>
                <w:color w:val="000000"/>
                <w:sz w:val="24"/>
                <w:szCs w:val="24"/>
              </w:rPr>
            </w:pPr>
            <w:r>
              <w:rPr>
                <w:rFonts w:hint="eastAsia" w:ascii="楷体" w:hAnsi="楷体" w:eastAsia="楷体"/>
                <w:sz w:val="24"/>
                <w:szCs w:val="24"/>
              </w:rPr>
              <w:t>个人网银</w:t>
            </w:r>
          </w:p>
          <w:p>
            <w:pPr>
              <w:jc w:val="center"/>
              <w:rPr>
                <w:rFonts w:ascii="楷体" w:hAnsi="楷体" w:eastAsia="楷体"/>
                <w:color w:val="000000"/>
                <w:sz w:val="24"/>
                <w:szCs w:val="24"/>
              </w:rPr>
            </w:pPr>
            <w:r>
              <w:rPr>
                <w:rFonts w:hint="eastAsia" w:ascii="楷体" w:hAnsi="楷体" w:eastAsia="楷体"/>
                <w:color w:val="000000"/>
                <w:sz w:val="24"/>
                <w:szCs w:val="24"/>
              </w:rPr>
              <w:t>（B2C网关贷记卡）</w:t>
            </w:r>
          </w:p>
        </w:tc>
        <w:tc>
          <w:tcPr>
            <w:tcW w:w="3685" w:type="dxa"/>
            <w:vAlign w:val="center"/>
          </w:tcPr>
          <w:p>
            <w:pPr>
              <w:jc w:val="center"/>
              <w:rPr>
                <w:rFonts w:ascii="楷体" w:hAnsi="楷体" w:eastAsia="楷体"/>
                <w:color w:val="000000"/>
                <w:sz w:val="24"/>
                <w:szCs w:val="24"/>
              </w:rPr>
            </w:pPr>
            <w:r>
              <w:rPr>
                <w:rFonts w:ascii="楷体" w:hAnsi="楷体" w:eastAsia="楷体"/>
                <w:color w:val="000000"/>
                <w:sz w:val="24"/>
                <w:szCs w:val="24"/>
              </w:rPr>
              <w:t>I</w:t>
            </w:r>
            <w:r>
              <w:rPr>
                <w:rFonts w:hint="eastAsia" w:ascii="楷体" w:hAnsi="楷体" w:eastAsia="楷体"/>
                <w:color w:val="000000"/>
                <w:sz w:val="24"/>
                <w:szCs w:val="24"/>
              </w:rPr>
              <w:t>类银行：</w:t>
            </w:r>
          </w:p>
          <w:p>
            <w:pPr>
              <w:jc w:val="left"/>
              <w:rPr>
                <w:rFonts w:ascii="楷体" w:hAnsi="楷体" w:eastAsia="楷体"/>
                <w:color w:val="000000"/>
                <w:sz w:val="24"/>
                <w:szCs w:val="24"/>
              </w:rPr>
            </w:pPr>
            <w:r>
              <w:rPr>
                <w:rFonts w:hint="eastAsia" w:ascii="楷体" w:hAnsi="楷体" w:eastAsia="楷体"/>
                <w:color w:val="000000"/>
                <w:sz w:val="24"/>
                <w:szCs w:val="24"/>
              </w:rPr>
              <w:t>南京银行、工商银行、中国银行、兰州银行、招商银行、上海银行、渤海银行、上海农村商业银行、浦发银行、邮储银行、交通银行、建设银行、杭州银行、农业银行、光大银行、民生银行、广发银行、中信银行、华夏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continue"/>
            <w:noWrap/>
            <w:tcMar>
              <w:top w:w="0" w:type="dxa"/>
              <w:left w:w="108" w:type="dxa"/>
              <w:bottom w:w="0" w:type="dxa"/>
              <w:right w:w="108" w:type="dxa"/>
            </w:tcMar>
            <w:vAlign w:val="center"/>
          </w:tcPr>
          <w:p>
            <w:pPr>
              <w:jc w:val="center"/>
              <w:rPr>
                <w:rFonts w:ascii="楷体" w:hAnsi="楷体" w:eastAsia="楷体"/>
                <w:color w:val="000000"/>
                <w:sz w:val="24"/>
                <w:szCs w:val="24"/>
              </w:rPr>
            </w:pPr>
          </w:p>
        </w:tc>
        <w:tc>
          <w:tcPr>
            <w:tcW w:w="3685" w:type="dxa"/>
            <w:vAlign w:val="center"/>
          </w:tcPr>
          <w:p>
            <w:pPr>
              <w:jc w:val="center"/>
              <w:rPr>
                <w:rFonts w:ascii="楷体" w:hAnsi="楷体" w:eastAsia="楷体"/>
                <w:color w:val="000000"/>
                <w:sz w:val="24"/>
                <w:szCs w:val="24"/>
              </w:rPr>
            </w:pPr>
            <w:r>
              <w:rPr>
                <w:rFonts w:hint="eastAsia" w:ascii="楷体" w:hAnsi="楷体" w:eastAsia="楷体"/>
                <w:color w:val="000000"/>
                <w:sz w:val="24"/>
                <w:szCs w:val="24"/>
              </w:rPr>
              <w:t>II类银行：</w:t>
            </w:r>
            <w:r>
              <w:rPr>
                <w:rFonts w:ascii="楷体" w:hAnsi="楷体" w:eastAsia="楷体"/>
                <w:color w:val="000000"/>
                <w:sz w:val="24"/>
                <w:szCs w:val="24"/>
              </w:rPr>
              <w:t>平安银行</w:t>
            </w:r>
            <w:r>
              <w:rPr>
                <w:rFonts w:hint="eastAsia" w:ascii="楷体" w:hAnsi="楷体" w:eastAsia="楷体"/>
                <w:color w:val="000000"/>
                <w:sz w:val="24"/>
                <w:szCs w:val="24"/>
              </w:rPr>
              <w:t>、</w:t>
            </w:r>
            <w:r>
              <w:rPr>
                <w:rFonts w:ascii="楷体" w:hAnsi="楷体" w:eastAsia="楷体"/>
                <w:color w:val="000000"/>
                <w:sz w:val="24"/>
                <w:szCs w:val="24"/>
              </w:rPr>
              <w:t>兴业银行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restart"/>
            <w:noWrap/>
            <w:tcMar>
              <w:top w:w="0" w:type="dxa"/>
              <w:left w:w="108" w:type="dxa"/>
              <w:bottom w:w="0" w:type="dxa"/>
              <w:right w:w="108" w:type="dxa"/>
            </w:tcMar>
            <w:vAlign w:val="center"/>
          </w:tcPr>
          <w:p>
            <w:pPr>
              <w:jc w:val="center"/>
              <w:rPr>
                <w:rFonts w:ascii="楷体" w:hAnsi="楷体" w:eastAsia="楷体"/>
                <w:color w:val="000000"/>
                <w:sz w:val="24"/>
                <w:szCs w:val="24"/>
              </w:rPr>
            </w:pPr>
            <w:r>
              <w:rPr>
                <w:rFonts w:hint="eastAsia" w:ascii="楷体" w:hAnsi="楷体" w:eastAsia="楷体"/>
                <w:sz w:val="24"/>
                <w:szCs w:val="24"/>
              </w:rPr>
              <w:t>个人网银</w:t>
            </w:r>
          </w:p>
          <w:p>
            <w:pPr>
              <w:jc w:val="center"/>
              <w:rPr>
                <w:rFonts w:ascii="楷体" w:hAnsi="楷体" w:eastAsia="楷体"/>
                <w:color w:val="000000"/>
                <w:sz w:val="24"/>
                <w:szCs w:val="24"/>
              </w:rPr>
            </w:pPr>
            <w:r>
              <w:rPr>
                <w:rFonts w:hint="eastAsia" w:ascii="楷体" w:hAnsi="楷体" w:eastAsia="楷体"/>
                <w:color w:val="000000"/>
                <w:sz w:val="24"/>
                <w:szCs w:val="24"/>
              </w:rPr>
              <w:t>（B2C网关借记卡）</w:t>
            </w:r>
          </w:p>
        </w:tc>
        <w:tc>
          <w:tcPr>
            <w:tcW w:w="3685" w:type="dxa"/>
            <w:vAlign w:val="center"/>
          </w:tcPr>
          <w:p>
            <w:pPr>
              <w:jc w:val="center"/>
              <w:rPr>
                <w:rFonts w:ascii="楷体" w:hAnsi="楷体" w:eastAsia="楷体"/>
                <w:color w:val="000000"/>
                <w:sz w:val="24"/>
                <w:szCs w:val="24"/>
              </w:rPr>
            </w:pPr>
            <w:r>
              <w:rPr>
                <w:rFonts w:hint="eastAsia" w:ascii="楷体" w:hAnsi="楷体" w:eastAsia="楷体"/>
                <w:color w:val="000000"/>
                <w:sz w:val="24"/>
                <w:szCs w:val="24"/>
              </w:rPr>
              <w:t>I类银行：</w:t>
            </w:r>
          </w:p>
          <w:p>
            <w:pPr>
              <w:jc w:val="left"/>
              <w:rPr>
                <w:rFonts w:ascii="楷体" w:hAnsi="楷体" w:eastAsia="楷体"/>
                <w:color w:val="000000"/>
                <w:sz w:val="24"/>
                <w:szCs w:val="24"/>
              </w:rPr>
            </w:pPr>
            <w:r>
              <w:rPr>
                <w:rFonts w:hint="eastAsia" w:ascii="楷体" w:hAnsi="楷体" w:eastAsia="楷体"/>
                <w:color w:val="000000"/>
                <w:sz w:val="24"/>
                <w:szCs w:val="24"/>
              </w:rPr>
              <w:t>南京银行、工商银行、民生银行、中国银行、农业银行、光大银行、广发银行、中信银行、华夏银行、建设银行、邮储银行、兰州银行、平安银行、上海银行、招商银行、兴业银行、渤海银行、浙商银行、上海农村商业银行、交通银行、杭州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continue"/>
            <w:noWrap/>
            <w:tcMar>
              <w:top w:w="0" w:type="dxa"/>
              <w:left w:w="108" w:type="dxa"/>
              <w:bottom w:w="0" w:type="dxa"/>
              <w:right w:w="108" w:type="dxa"/>
            </w:tcMar>
            <w:vAlign w:val="center"/>
          </w:tcPr>
          <w:p>
            <w:pPr>
              <w:jc w:val="center"/>
              <w:rPr>
                <w:rFonts w:ascii="楷体" w:hAnsi="楷体" w:eastAsia="楷体"/>
                <w:color w:val="000000"/>
                <w:sz w:val="24"/>
                <w:szCs w:val="24"/>
              </w:rPr>
            </w:pPr>
          </w:p>
        </w:tc>
        <w:tc>
          <w:tcPr>
            <w:tcW w:w="3685" w:type="dxa"/>
            <w:vAlign w:val="center"/>
          </w:tcPr>
          <w:p>
            <w:pPr>
              <w:jc w:val="center"/>
              <w:rPr>
                <w:rFonts w:ascii="楷体" w:hAnsi="楷体" w:eastAsia="楷体"/>
                <w:color w:val="000000"/>
                <w:sz w:val="24"/>
                <w:szCs w:val="24"/>
              </w:rPr>
            </w:pPr>
            <w:r>
              <w:rPr>
                <w:rFonts w:hint="eastAsia" w:ascii="楷体" w:hAnsi="楷体" w:eastAsia="楷体"/>
                <w:color w:val="000000"/>
                <w:sz w:val="24"/>
                <w:szCs w:val="24"/>
              </w:rPr>
              <w:t>II类银行：</w:t>
            </w:r>
            <w:r>
              <w:rPr>
                <w:rFonts w:ascii="楷体" w:hAnsi="楷体" w:eastAsia="楷体"/>
                <w:color w:val="000000"/>
                <w:sz w:val="24"/>
                <w:szCs w:val="24"/>
              </w:rPr>
              <w:t>浦发银行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continue"/>
            <w:noWrap/>
            <w:tcMar>
              <w:top w:w="0" w:type="dxa"/>
              <w:left w:w="108" w:type="dxa"/>
              <w:bottom w:w="0" w:type="dxa"/>
              <w:right w:w="108" w:type="dxa"/>
            </w:tcMar>
            <w:vAlign w:val="center"/>
          </w:tcPr>
          <w:p>
            <w:pPr>
              <w:jc w:val="center"/>
              <w:rPr>
                <w:rFonts w:ascii="楷体" w:hAnsi="楷体" w:eastAsia="楷体"/>
                <w:color w:val="000000"/>
                <w:sz w:val="24"/>
                <w:szCs w:val="24"/>
              </w:rPr>
            </w:pPr>
          </w:p>
        </w:tc>
        <w:tc>
          <w:tcPr>
            <w:tcW w:w="3685" w:type="dxa"/>
            <w:vAlign w:val="center"/>
          </w:tcPr>
          <w:p>
            <w:pPr>
              <w:jc w:val="center"/>
              <w:rPr>
                <w:rFonts w:ascii="楷体" w:hAnsi="楷体" w:eastAsia="楷体"/>
                <w:color w:val="000000"/>
                <w:sz w:val="24"/>
                <w:szCs w:val="24"/>
              </w:rPr>
            </w:pPr>
            <w:r>
              <w:rPr>
                <w:rFonts w:hint="eastAsia" w:ascii="楷体" w:hAnsi="楷体" w:eastAsia="楷体"/>
                <w:color w:val="000000"/>
                <w:sz w:val="24"/>
                <w:szCs w:val="24"/>
              </w:rPr>
              <w:t>III类银行：</w:t>
            </w:r>
            <w:r>
              <w:rPr>
                <w:rFonts w:ascii="楷体" w:hAnsi="楷体" w:eastAsia="楷体"/>
                <w:color w:val="000000"/>
                <w:sz w:val="24"/>
                <w:szCs w:val="24"/>
              </w:rPr>
              <w:t>北京银行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restart"/>
            <w:noWrap/>
            <w:tcMar>
              <w:top w:w="0" w:type="dxa"/>
              <w:left w:w="108" w:type="dxa"/>
              <w:bottom w:w="0" w:type="dxa"/>
              <w:right w:w="108" w:type="dxa"/>
            </w:tcMar>
            <w:vAlign w:val="center"/>
          </w:tcPr>
          <w:p>
            <w:pPr>
              <w:jc w:val="center"/>
              <w:rPr>
                <w:rFonts w:ascii="楷体" w:hAnsi="楷体" w:eastAsia="楷体"/>
                <w:color w:val="000000"/>
                <w:sz w:val="24"/>
                <w:szCs w:val="24"/>
              </w:rPr>
            </w:pPr>
            <w:r>
              <w:rPr>
                <w:rFonts w:hint="eastAsia" w:ascii="楷体" w:hAnsi="楷体" w:eastAsia="楷体"/>
                <w:color w:val="000000"/>
                <w:sz w:val="24"/>
                <w:szCs w:val="24"/>
              </w:rPr>
              <w:t>协议支付（贷记卡）</w:t>
            </w:r>
          </w:p>
        </w:tc>
        <w:tc>
          <w:tcPr>
            <w:tcW w:w="3685" w:type="dxa"/>
            <w:vAlign w:val="center"/>
          </w:tcPr>
          <w:p>
            <w:pPr>
              <w:jc w:val="center"/>
              <w:rPr>
                <w:rFonts w:ascii="楷体" w:hAnsi="楷体" w:eastAsia="楷体"/>
                <w:color w:val="000000"/>
                <w:sz w:val="24"/>
                <w:szCs w:val="24"/>
              </w:rPr>
            </w:pPr>
            <w:r>
              <w:rPr>
                <w:rFonts w:ascii="楷体" w:hAnsi="楷体" w:eastAsia="楷体"/>
                <w:color w:val="000000"/>
                <w:sz w:val="24"/>
                <w:szCs w:val="24"/>
              </w:rPr>
              <w:t>I类银行</w:t>
            </w:r>
            <w:r>
              <w:rPr>
                <w:rFonts w:hint="eastAsia" w:ascii="楷体" w:hAnsi="楷体" w:eastAsia="楷体"/>
                <w:color w:val="000000"/>
                <w:sz w:val="24"/>
                <w:szCs w:val="24"/>
              </w:rPr>
              <w:t>：</w:t>
            </w:r>
          </w:p>
          <w:p>
            <w:pPr>
              <w:jc w:val="left"/>
              <w:rPr>
                <w:rFonts w:ascii="楷体" w:hAnsi="楷体" w:eastAsia="楷体"/>
                <w:color w:val="000000"/>
                <w:sz w:val="24"/>
                <w:szCs w:val="24"/>
              </w:rPr>
            </w:pPr>
            <w:r>
              <w:rPr>
                <w:rFonts w:hint="eastAsia" w:ascii="楷体" w:hAnsi="楷体" w:eastAsia="楷体"/>
                <w:color w:val="000000"/>
                <w:sz w:val="24"/>
                <w:szCs w:val="24"/>
              </w:rPr>
              <w:t>附件二贷记卡区域性银行、北京银行、中国银行、上海银行、光大银行、农业银行、建设银行、工商银行、广发银行、民生银行、中信银行、华夏银行、平安银行、浦发银行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continue"/>
            <w:noWrap/>
            <w:tcMar>
              <w:top w:w="0" w:type="dxa"/>
              <w:left w:w="108" w:type="dxa"/>
              <w:bottom w:w="0" w:type="dxa"/>
              <w:right w:w="108" w:type="dxa"/>
            </w:tcMar>
            <w:vAlign w:val="center"/>
          </w:tcPr>
          <w:p>
            <w:pPr>
              <w:jc w:val="center"/>
              <w:rPr>
                <w:rFonts w:ascii="楷体" w:hAnsi="楷体" w:eastAsia="楷体"/>
                <w:color w:val="000000"/>
                <w:sz w:val="24"/>
                <w:szCs w:val="24"/>
              </w:rPr>
            </w:pPr>
          </w:p>
        </w:tc>
        <w:tc>
          <w:tcPr>
            <w:tcW w:w="3685" w:type="dxa"/>
            <w:vAlign w:val="center"/>
          </w:tcPr>
          <w:p>
            <w:pPr>
              <w:jc w:val="center"/>
              <w:rPr>
                <w:rFonts w:ascii="楷体" w:hAnsi="楷体" w:eastAsia="楷体"/>
                <w:color w:val="000000"/>
                <w:sz w:val="24"/>
                <w:szCs w:val="24"/>
              </w:rPr>
            </w:pPr>
            <w:r>
              <w:rPr>
                <w:rFonts w:hint="eastAsia" w:ascii="楷体" w:hAnsi="楷体" w:eastAsia="楷体"/>
                <w:color w:val="000000"/>
                <w:sz w:val="24"/>
                <w:szCs w:val="24"/>
              </w:rPr>
              <w:t>II类银行：</w:t>
            </w:r>
          </w:p>
          <w:p>
            <w:pPr>
              <w:jc w:val="center"/>
              <w:rPr>
                <w:rFonts w:ascii="楷体" w:hAnsi="楷体" w:eastAsia="楷体"/>
                <w:color w:val="000000"/>
                <w:sz w:val="24"/>
                <w:szCs w:val="24"/>
              </w:rPr>
            </w:pPr>
            <w:r>
              <w:rPr>
                <w:rFonts w:hint="eastAsia" w:ascii="楷体" w:hAnsi="楷体" w:eastAsia="楷体"/>
                <w:color w:val="000000"/>
                <w:sz w:val="24"/>
                <w:szCs w:val="24"/>
              </w:rPr>
              <w:t>交通银行、邮储银行、招商银行、兴业银行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restart"/>
            <w:noWrap/>
            <w:tcMar>
              <w:top w:w="0" w:type="dxa"/>
              <w:left w:w="108" w:type="dxa"/>
              <w:bottom w:w="0" w:type="dxa"/>
              <w:right w:w="108" w:type="dxa"/>
            </w:tcMar>
            <w:vAlign w:val="center"/>
          </w:tcPr>
          <w:p>
            <w:pPr>
              <w:jc w:val="center"/>
              <w:rPr>
                <w:rFonts w:ascii="楷体" w:hAnsi="楷体" w:eastAsia="楷体"/>
                <w:color w:val="000000"/>
                <w:sz w:val="24"/>
                <w:szCs w:val="24"/>
              </w:rPr>
            </w:pPr>
            <w:r>
              <w:rPr>
                <w:rFonts w:hint="eastAsia" w:ascii="楷体" w:hAnsi="楷体" w:eastAsia="楷体"/>
                <w:color w:val="000000"/>
                <w:sz w:val="24"/>
                <w:szCs w:val="24"/>
              </w:rPr>
              <w:t>协议支付（借记卡）</w:t>
            </w:r>
          </w:p>
        </w:tc>
        <w:tc>
          <w:tcPr>
            <w:tcW w:w="3685" w:type="dxa"/>
            <w:vAlign w:val="center"/>
          </w:tcPr>
          <w:p>
            <w:pPr>
              <w:jc w:val="center"/>
              <w:rPr>
                <w:rFonts w:ascii="楷体" w:hAnsi="楷体" w:eastAsia="楷体"/>
                <w:color w:val="000000"/>
                <w:sz w:val="24"/>
                <w:szCs w:val="24"/>
              </w:rPr>
            </w:pPr>
            <w:r>
              <w:rPr>
                <w:rFonts w:ascii="楷体" w:hAnsi="楷体" w:eastAsia="楷体"/>
                <w:color w:val="000000"/>
                <w:sz w:val="24"/>
                <w:szCs w:val="24"/>
              </w:rPr>
              <w:t>I</w:t>
            </w:r>
            <w:r>
              <w:rPr>
                <w:rFonts w:hint="eastAsia" w:ascii="楷体" w:hAnsi="楷体" w:eastAsia="楷体"/>
                <w:color w:val="000000"/>
                <w:sz w:val="24"/>
                <w:szCs w:val="24"/>
              </w:rPr>
              <w:t>类银行：</w:t>
            </w:r>
          </w:p>
          <w:p>
            <w:pPr>
              <w:jc w:val="left"/>
              <w:rPr>
                <w:rFonts w:ascii="楷体" w:hAnsi="楷体" w:eastAsia="楷体"/>
                <w:color w:val="000000"/>
                <w:sz w:val="24"/>
                <w:szCs w:val="24"/>
              </w:rPr>
            </w:pPr>
            <w:r>
              <w:rPr>
                <w:rFonts w:hint="eastAsia" w:ascii="楷体" w:hAnsi="楷体" w:eastAsia="楷体"/>
                <w:color w:val="000000"/>
                <w:sz w:val="24"/>
                <w:szCs w:val="24"/>
              </w:rPr>
              <w:t>附件二借记卡区域性银行、华夏银行、广发银行、平安银行、中国银行、渤海银行、工商银行、农业银行、民生银行、中信银行、上海银行、浦发银行、北京银行、兴业银行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continue"/>
            <w:noWrap/>
            <w:tcMar>
              <w:top w:w="0" w:type="dxa"/>
              <w:left w:w="108" w:type="dxa"/>
              <w:bottom w:w="0" w:type="dxa"/>
              <w:right w:w="108" w:type="dxa"/>
            </w:tcMar>
            <w:vAlign w:val="center"/>
          </w:tcPr>
          <w:p>
            <w:pPr>
              <w:jc w:val="center"/>
              <w:rPr>
                <w:rFonts w:ascii="楷体" w:hAnsi="楷体" w:eastAsia="楷体"/>
                <w:color w:val="000000"/>
                <w:sz w:val="24"/>
                <w:szCs w:val="24"/>
              </w:rPr>
            </w:pPr>
          </w:p>
        </w:tc>
        <w:tc>
          <w:tcPr>
            <w:tcW w:w="3685" w:type="dxa"/>
            <w:vAlign w:val="center"/>
          </w:tcPr>
          <w:p>
            <w:pPr>
              <w:jc w:val="center"/>
              <w:rPr>
                <w:rFonts w:ascii="楷体" w:hAnsi="楷体" w:eastAsia="楷体"/>
                <w:color w:val="000000"/>
                <w:sz w:val="24"/>
                <w:szCs w:val="24"/>
              </w:rPr>
            </w:pPr>
            <w:r>
              <w:rPr>
                <w:rFonts w:hint="eastAsia" w:ascii="楷体" w:hAnsi="楷体" w:eastAsia="楷体"/>
                <w:color w:val="000000"/>
                <w:sz w:val="24"/>
                <w:szCs w:val="24"/>
              </w:rPr>
              <w:t>II类银行：</w:t>
            </w:r>
          </w:p>
          <w:p>
            <w:pPr>
              <w:jc w:val="center"/>
              <w:rPr>
                <w:rFonts w:ascii="楷体" w:hAnsi="楷体" w:eastAsia="楷体"/>
                <w:color w:val="000000"/>
                <w:sz w:val="24"/>
                <w:szCs w:val="24"/>
              </w:rPr>
            </w:pPr>
            <w:r>
              <w:rPr>
                <w:rFonts w:ascii="楷体" w:hAnsi="楷体" w:eastAsia="楷体"/>
                <w:color w:val="000000"/>
                <w:sz w:val="24"/>
                <w:szCs w:val="24"/>
              </w:rPr>
              <w:t>建设银行</w:t>
            </w:r>
            <w:r>
              <w:rPr>
                <w:rFonts w:hint="eastAsia" w:ascii="楷体" w:hAnsi="楷体" w:eastAsia="楷体"/>
                <w:color w:val="000000"/>
                <w:sz w:val="24"/>
                <w:szCs w:val="24"/>
              </w:rPr>
              <w:t>、</w:t>
            </w:r>
            <w:r>
              <w:rPr>
                <w:rFonts w:ascii="楷体" w:hAnsi="楷体" w:eastAsia="楷体"/>
                <w:color w:val="000000"/>
                <w:sz w:val="24"/>
                <w:szCs w:val="24"/>
              </w:rPr>
              <w:t>交通银行</w:t>
            </w:r>
            <w:r>
              <w:rPr>
                <w:rFonts w:hint="eastAsia" w:ascii="楷体" w:hAnsi="楷体" w:eastAsia="楷体"/>
                <w:color w:val="000000"/>
                <w:sz w:val="24"/>
                <w:szCs w:val="24"/>
              </w:rPr>
              <w:t>、光大银行、招商银行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continue"/>
            <w:noWrap/>
            <w:tcMar>
              <w:top w:w="0" w:type="dxa"/>
              <w:left w:w="108" w:type="dxa"/>
              <w:bottom w:w="0" w:type="dxa"/>
              <w:right w:w="108" w:type="dxa"/>
            </w:tcMar>
            <w:vAlign w:val="center"/>
          </w:tcPr>
          <w:p>
            <w:pPr>
              <w:jc w:val="center"/>
              <w:rPr>
                <w:rFonts w:ascii="楷体" w:hAnsi="楷体" w:eastAsia="楷体"/>
                <w:color w:val="000000"/>
                <w:sz w:val="24"/>
                <w:szCs w:val="24"/>
              </w:rPr>
            </w:pPr>
          </w:p>
        </w:tc>
        <w:tc>
          <w:tcPr>
            <w:tcW w:w="3685" w:type="dxa"/>
            <w:vAlign w:val="center"/>
          </w:tcPr>
          <w:p>
            <w:pPr>
              <w:jc w:val="center"/>
              <w:rPr>
                <w:rFonts w:ascii="楷体" w:hAnsi="楷体" w:eastAsia="楷体"/>
                <w:color w:val="000000"/>
                <w:sz w:val="24"/>
                <w:szCs w:val="24"/>
              </w:rPr>
            </w:pPr>
            <w:r>
              <w:rPr>
                <w:rFonts w:ascii="楷体" w:hAnsi="楷体" w:eastAsia="楷体"/>
                <w:color w:val="000000"/>
                <w:sz w:val="24"/>
                <w:szCs w:val="24"/>
              </w:rPr>
              <w:t>III类银行</w:t>
            </w:r>
            <w:r>
              <w:rPr>
                <w:rFonts w:hint="eastAsia" w:ascii="楷体" w:hAnsi="楷体" w:eastAsia="楷体"/>
                <w:color w:val="000000"/>
                <w:sz w:val="24"/>
                <w:szCs w:val="24"/>
              </w:rPr>
              <w:t>：</w:t>
            </w:r>
            <w:r>
              <w:rPr>
                <w:rFonts w:ascii="楷体" w:hAnsi="楷体" w:eastAsia="楷体"/>
                <w:color w:val="000000"/>
                <w:sz w:val="24"/>
                <w:szCs w:val="24"/>
              </w:rPr>
              <w:t>邮储银行</w:t>
            </w:r>
          </w:p>
        </w:tc>
      </w:tr>
    </w:tbl>
    <w:p>
      <w:pPr>
        <w:jc w:val="left"/>
        <w:rPr>
          <w:rFonts w:ascii="楷体" w:hAnsi="楷体" w:eastAsia="楷体"/>
          <w:b/>
          <w:color w:val="000000"/>
          <w:sz w:val="24"/>
          <w:szCs w:val="24"/>
        </w:rPr>
      </w:pPr>
      <w:r>
        <w:rPr>
          <w:rFonts w:ascii="楷体" w:hAnsi="楷体" w:eastAsia="楷体"/>
          <w:b/>
          <w:color w:val="000000"/>
          <w:sz w:val="24"/>
          <w:szCs w:val="24"/>
        </w:rPr>
        <w:br w:type="page"/>
      </w:r>
    </w:p>
    <w:p>
      <w:pPr>
        <w:jc w:val="left"/>
        <w:rPr>
          <w:rFonts w:ascii="楷体" w:hAnsi="楷体" w:eastAsia="楷体"/>
          <w:b/>
          <w:color w:val="000000"/>
          <w:sz w:val="24"/>
          <w:szCs w:val="24"/>
        </w:rPr>
      </w:pPr>
    </w:p>
    <w:tbl>
      <w:tblPr>
        <w:tblStyle w:val="8"/>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57"/>
        <w:gridCol w:w="2268"/>
        <w:gridCol w:w="284"/>
        <w:gridCol w:w="567"/>
        <w:gridCol w:w="2268"/>
        <w:gridCol w:w="425"/>
        <w:gridCol w:w="1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shd w:val="clear" w:color="auto" w:fill="D8D8D8" w:themeFill="background1" w:themeFillShade="D9"/>
            <w:tcMar>
              <w:top w:w="0" w:type="dxa"/>
              <w:left w:w="108" w:type="dxa"/>
              <w:bottom w:w="0" w:type="dxa"/>
              <w:right w:w="108" w:type="dxa"/>
            </w:tcMar>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序号</w:t>
            </w:r>
          </w:p>
        </w:tc>
        <w:tc>
          <w:tcPr>
            <w:tcW w:w="2268" w:type="dxa"/>
            <w:shd w:val="clear" w:color="auto" w:fill="D8D8D8" w:themeFill="background1" w:themeFillShade="D9"/>
            <w:tcMar>
              <w:top w:w="0" w:type="dxa"/>
              <w:left w:w="108" w:type="dxa"/>
              <w:bottom w:w="0" w:type="dxa"/>
              <w:right w:w="108" w:type="dxa"/>
            </w:tcMar>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借记卡</w:t>
            </w:r>
          </w:p>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区域性银行</w:t>
            </w:r>
          </w:p>
        </w:tc>
        <w:tc>
          <w:tcPr>
            <w:tcW w:w="284" w:type="dxa"/>
            <w:tcBorders>
              <w:top w:val="nil"/>
              <w:bottom w:val="nil"/>
            </w:tcBorders>
            <w:tcMar>
              <w:top w:w="0" w:type="dxa"/>
              <w:left w:w="108" w:type="dxa"/>
              <w:bottom w:w="0" w:type="dxa"/>
              <w:right w:w="108" w:type="dxa"/>
            </w:tcMar>
          </w:tcPr>
          <w:p>
            <w:pPr>
              <w:snapToGrid w:val="0"/>
              <w:jc w:val="center"/>
              <w:rPr>
                <w:rFonts w:ascii="楷体" w:hAnsi="楷体" w:eastAsia="楷体"/>
                <w:b/>
                <w:bCs/>
                <w:color w:val="000000"/>
                <w:sz w:val="24"/>
                <w:szCs w:val="24"/>
              </w:rPr>
            </w:pPr>
          </w:p>
        </w:tc>
        <w:tc>
          <w:tcPr>
            <w:tcW w:w="567" w:type="dxa"/>
            <w:shd w:val="clear" w:color="auto" w:fill="D8D8D8" w:themeFill="background1" w:themeFillShade="D9"/>
            <w:tcMar>
              <w:top w:w="0" w:type="dxa"/>
              <w:left w:w="108" w:type="dxa"/>
              <w:bottom w:w="0" w:type="dxa"/>
              <w:right w:w="108" w:type="dxa"/>
            </w:tcMar>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序号</w:t>
            </w:r>
          </w:p>
        </w:tc>
        <w:tc>
          <w:tcPr>
            <w:tcW w:w="2268" w:type="dxa"/>
            <w:shd w:val="clear" w:color="auto" w:fill="D8D8D8" w:themeFill="background1" w:themeFillShade="D9"/>
            <w:tcMar>
              <w:top w:w="0" w:type="dxa"/>
              <w:left w:w="108" w:type="dxa"/>
              <w:bottom w:w="0" w:type="dxa"/>
              <w:right w:w="108" w:type="dxa"/>
            </w:tcMar>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贷记卡</w:t>
            </w:r>
          </w:p>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区域性银行</w:t>
            </w:r>
          </w:p>
        </w:tc>
        <w:tc>
          <w:tcPr>
            <w:tcW w:w="425" w:type="dxa"/>
            <w:shd w:val="clear" w:color="auto" w:fill="D8D8D8" w:themeFill="background1" w:themeFillShade="D9"/>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序号</w:t>
            </w:r>
          </w:p>
        </w:tc>
        <w:tc>
          <w:tcPr>
            <w:tcW w:w="1917" w:type="dxa"/>
            <w:shd w:val="clear" w:color="auto" w:fill="D8D8D8" w:themeFill="background1" w:themeFillShade="D9"/>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贷记卡</w:t>
            </w:r>
          </w:p>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区域性银行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江苏银行</w:t>
            </w:r>
          </w:p>
        </w:tc>
        <w:tc>
          <w:tcPr>
            <w:tcW w:w="284" w:type="dxa"/>
            <w:vMerge w:val="restart"/>
            <w:tcBorders>
              <w:top w:val="nil"/>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莱商银行</w:t>
            </w:r>
          </w:p>
        </w:tc>
        <w:tc>
          <w:tcPr>
            <w:tcW w:w="425"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35</w:t>
            </w:r>
          </w:p>
        </w:tc>
        <w:tc>
          <w:tcPr>
            <w:tcW w:w="1917"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珠海华润银行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莱商银行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天津银行</w:t>
            </w:r>
          </w:p>
        </w:tc>
        <w:tc>
          <w:tcPr>
            <w:tcW w:w="425"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36</w:t>
            </w:r>
          </w:p>
        </w:tc>
        <w:tc>
          <w:tcPr>
            <w:tcW w:w="1917"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贵阳银行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天津银行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重庆银行</w:t>
            </w:r>
          </w:p>
        </w:tc>
        <w:tc>
          <w:tcPr>
            <w:tcW w:w="425"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37</w:t>
            </w:r>
          </w:p>
        </w:tc>
        <w:tc>
          <w:tcPr>
            <w:tcW w:w="1917"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宁夏银行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重庆银行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包商银行</w:t>
            </w:r>
          </w:p>
        </w:tc>
        <w:tc>
          <w:tcPr>
            <w:tcW w:w="425"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38</w:t>
            </w:r>
          </w:p>
        </w:tc>
        <w:tc>
          <w:tcPr>
            <w:tcW w:w="1917"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无锡农商行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5</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盛京银行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5</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盛京银行</w:t>
            </w:r>
          </w:p>
        </w:tc>
        <w:tc>
          <w:tcPr>
            <w:tcW w:w="425" w:type="dxa"/>
          </w:tcPr>
          <w:p>
            <w:pPr>
              <w:snapToGrid w:val="0"/>
              <w:jc w:val="center"/>
              <w:rPr>
                <w:rFonts w:ascii="楷体" w:hAnsi="楷体" w:eastAsia="楷体"/>
                <w:color w:val="000000"/>
                <w:sz w:val="24"/>
                <w:szCs w:val="24"/>
              </w:rPr>
            </w:pPr>
            <w:r>
              <w:rPr>
                <w:rFonts w:hint="eastAsia" w:ascii="楷体" w:hAnsi="楷体" w:eastAsia="楷体"/>
                <w:color w:val="000000"/>
                <w:sz w:val="24"/>
                <w:szCs w:val="24"/>
              </w:rPr>
              <w:t>39</w:t>
            </w:r>
          </w:p>
        </w:tc>
        <w:tc>
          <w:tcPr>
            <w:tcW w:w="1917"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广州农商银行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6</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大连银行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6</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大连银行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7</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哈尔滨银行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7</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哈尔滨银行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8</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南京银行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8</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南京银行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9</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杭州银行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9</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杭州银行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10</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宁波银行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10</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宁波银行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浙江民泰商业银行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浙江民泰商业银行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泉州银行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泉州银行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江西银行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江西银行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齐鲁银行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齐鲁银行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15</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临商银行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15</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青岛银行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16</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齐商银行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16</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临商银行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17</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汉口银行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17</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齐商银行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18</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广州银行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18</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汉口银行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19</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东莞银行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19</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广州银行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20</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乌鲁木齐银行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20</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东莞银行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浙商银行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乌鲁木齐银行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上海农商银行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浙商银行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兰州银行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渤海银行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青海银行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北京农商银行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25</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河北银行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25</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上海农商银行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26</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潍坊银行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26</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兰州银行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27</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威海市商业银行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27</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青海银行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28</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贵阳银行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28</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甘肃银行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29</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宁夏银行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29</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贵州银行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30</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无锡农商行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30</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锦州银行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Borders>
              <w:bottom w:val="single" w:color="auto" w:sz="4" w:space="0"/>
            </w:tcBorders>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31</w:t>
            </w:r>
          </w:p>
        </w:tc>
        <w:tc>
          <w:tcPr>
            <w:tcW w:w="2268" w:type="dxa"/>
            <w:tcBorders>
              <w:bottom w:val="single" w:color="auto" w:sz="4" w:space="0"/>
            </w:tcBorders>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广州农商银行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日照银行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2825" w:type="dxa"/>
            <w:gridSpan w:val="2"/>
            <w:vMerge w:val="restart"/>
            <w:tcBorders>
              <w:left w:val="nil"/>
              <w:bottom w:val="nil"/>
              <w:right w:val="nil"/>
            </w:tcBorders>
            <w:tcMar>
              <w:top w:w="0" w:type="dxa"/>
              <w:left w:w="108" w:type="dxa"/>
              <w:bottom w:w="0" w:type="dxa"/>
              <w:right w:w="108" w:type="dxa"/>
            </w:tcMar>
            <w:vAlign w:val="center"/>
          </w:tcPr>
          <w:p>
            <w:pPr>
              <w:snapToGrid w:val="0"/>
              <w:rPr>
                <w:rFonts w:ascii="楷体" w:hAnsi="楷体" w:eastAsia="楷体"/>
                <w:color w:val="000000"/>
                <w:sz w:val="24"/>
                <w:szCs w:val="24"/>
              </w:rPr>
            </w:pPr>
          </w:p>
        </w:tc>
        <w:tc>
          <w:tcPr>
            <w:tcW w:w="284" w:type="dxa"/>
            <w:vMerge w:val="continue"/>
            <w:tcBorders>
              <w:left w:val="nil"/>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河北银行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2825" w:type="dxa"/>
            <w:gridSpan w:val="2"/>
            <w:vMerge w:val="continue"/>
            <w:tcBorders>
              <w:left w:val="nil"/>
              <w:bottom w:val="nil"/>
              <w:right w:val="nil"/>
            </w:tcBorders>
            <w:vAlign w:val="center"/>
          </w:tcPr>
          <w:p>
            <w:pPr>
              <w:jc w:val="center"/>
              <w:rPr>
                <w:rFonts w:ascii="楷体" w:hAnsi="楷体" w:eastAsia="楷体" w:cs="Calibri"/>
                <w:color w:val="000000"/>
                <w:sz w:val="24"/>
                <w:szCs w:val="24"/>
              </w:rPr>
            </w:pPr>
          </w:p>
        </w:tc>
        <w:tc>
          <w:tcPr>
            <w:tcW w:w="284" w:type="dxa"/>
            <w:vMerge w:val="continue"/>
            <w:tcBorders>
              <w:left w:val="nil"/>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潍坊银行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2825" w:type="dxa"/>
            <w:gridSpan w:val="2"/>
            <w:vMerge w:val="continue"/>
            <w:tcBorders>
              <w:left w:val="nil"/>
              <w:bottom w:val="nil"/>
              <w:right w:val="nil"/>
            </w:tcBorders>
            <w:vAlign w:val="center"/>
          </w:tcPr>
          <w:p>
            <w:pPr>
              <w:jc w:val="center"/>
              <w:rPr>
                <w:rFonts w:ascii="楷体" w:hAnsi="楷体" w:eastAsia="楷体" w:cs="Calibri"/>
                <w:color w:val="000000"/>
                <w:sz w:val="24"/>
                <w:szCs w:val="24"/>
              </w:rPr>
            </w:pPr>
          </w:p>
        </w:tc>
        <w:tc>
          <w:tcPr>
            <w:tcW w:w="284" w:type="dxa"/>
            <w:vMerge w:val="continue"/>
            <w:tcBorders>
              <w:left w:val="nil"/>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威海市商业银行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bl>
    <w:p>
      <w:pPr>
        <w:widowControl/>
        <w:jc w:val="left"/>
        <w:rPr>
          <w:rFonts w:ascii="楷体" w:hAnsi="楷体" w:eastAsia="楷体"/>
          <w:szCs w:val="21"/>
        </w:rPr>
      </w:pPr>
      <w:r>
        <w:rPr>
          <w:rFonts w:ascii="楷体" w:hAnsi="楷体" w:eastAsia="楷体"/>
          <w:szCs w:val="21"/>
        </w:rPr>
        <w:br w:type="page"/>
      </w:r>
    </w:p>
    <w:p>
      <w:pPr>
        <w:widowControl/>
        <w:jc w:val="center"/>
        <w:rPr>
          <w:rFonts w:ascii="楷体" w:hAnsi="楷体" w:eastAsia="楷体"/>
          <w:szCs w:val="21"/>
        </w:rPr>
      </w:pPr>
      <w:r>
        <w:rPr>
          <w:rFonts w:hint="eastAsia" w:ascii="楷体" w:hAnsi="楷体" w:eastAsia="楷体"/>
          <w:szCs w:val="21"/>
        </w:rPr>
        <w:t>（通用条款）</w:t>
      </w:r>
    </w:p>
    <w:p>
      <w:pPr>
        <w:widowControl/>
        <w:jc w:val="left"/>
        <w:rPr>
          <w:rFonts w:ascii="楷体" w:hAnsi="楷体" w:eastAsia="楷体"/>
          <w:szCs w:val="21"/>
        </w:rPr>
      </w:pPr>
      <w:r>
        <w:rPr>
          <w:rFonts w:hint="eastAsia" w:ascii="楷体" w:hAnsi="楷体" w:eastAsia="楷体"/>
          <w:szCs w:val="21"/>
        </w:rPr>
        <w:t>鉴于：</w:t>
      </w:r>
    </w:p>
    <w:p>
      <w:pPr>
        <w:adjustRightInd w:val="0"/>
        <w:snapToGrid w:val="0"/>
        <w:ind w:firstLine="420" w:firstLineChars="200"/>
        <w:rPr>
          <w:rFonts w:ascii="楷体" w:hAnsi="楷体" w:eastAsia="楷体"/>
          <w:szCs w:val="21"/>
        </w:rPr>
      </w:pPr>
      <w:r>
        <w:rPr>
          <w:rFonts w:hint="eastAsia" w:ascii="楷体" w:hAnsi="楷体" w:eastAsia="楷体"/>
          <w:szCs w:val="21"/>
        </w:rPr>
        <w:t>甲方</w:t>
      </w:r>
      <w:r>
        <w:rPr>
          <w:rFonts w:ascii="楷体" w:hAnsi="楷体" w:eastAsia="楷体"/>
          <w:szCs w:val="21"/>
        </w:rPr>
        <w:t>为</w:t>
      </w:r>
      <w:r>
        <w:rPr>
          <w:rFonts w:hint="eastAsia" w:ascii="楷体" w:hAnsi="楷体" w:eastAsia="楷体"/>
          <w:szCs w:val="21"/>
        </w:rPr>
        <w:t>有综合</w:t>
      </w:r>
      <w:r>
        <w:rPr>
          <w:rFonts w:ascii="楷体" w:hAnsi="楷体" w:eastAsia="楷体"/>
          <w:szCs w:val="21"/>
        </w:rPr>
        <w:t>支付</w:t>
      </w:r>
      <w:r>
        <w:rPr>
          <w:rFonts w:hint="eastAsia" w:ascii="楷体" w:hAnsi="楷体" w:eastAsia="楷体"/>
          <w:szCs w:val="21"/>
        </w:rPr>
        <w:t>服务的</w:t>
      </w:r>
      <w:r>
        <w:rPr>
          <w:rFonts w:ascii="楷体" w:hAnsi="楷体" w:eastAsia="楷体"/>
          <w:szCs w:val="21"/>
        </w:rPr>
        <w:t>需求</w:t>
      </w:r>
      <w:r>
        <w:rPr>
          <w:rFonts w:hint="eastAsia" w:ascii="楷体" w:hAnsi="楷体" w:eastAsia="楷体"/>
          <w:szCs w:val="21"/>
        </w:rPr>
        <w:t>、</w:t>
      </w:r>
      <w:r>
        <w:rPr>
          <w:rFonts w:ascii="楷体" w:hAnsi="楷体" w:eastAsia="楷体"/>
          <w:szCs w:val="21"/>
        </w:rPr>
        <w:t>依法成立并有效存续的</w:t>
      </w:r>
      <w:r>
        <w:rPr>
          <w:rFonts w:hint="eastAsia" w:ascii="楷体" w:hAnsi="楷体" w:eastAsia="楷体"/>
          <w:szCs w:val="21"/>
        </w:rPr>
        <w:t>法律主体；</w:t>
      </w:r>
    </w:p>
    <w:p>
      <w:pPr>
        <w:adjustRightInd w:val="0"/>
        <w:snapToGrid w:val="0"/>
        <w:ind w:firstLine="480"/>
        <w:rPr>
          <w:rFonts w:ascii="楷体" w:hAnsi="楷体" w:eastAsia="楷体"/>
          <w:szCs w:val="21"/>
        </w:rPr>
      </w:pPr>
      <w:r>
        <w:rPr>
          <w:rFonts w:hint="eastAsia" w:ascii="楷体" w:hAnsi="楷体" w:eastAsia="楷体"/>
          <w:szCs w:val="21"/>
        </w:rPr>
        <w:t>乙方</w:t>
      </w:r>
      <w:r>
        <w:rPr>
          <w:rFonts w:ascii="楷体" w:hAnsi="楷体" w:eastAsia="楷体"/>
          <w:szCs w:val="21"/>
        </w:rPr>
        <w:t>为经</w:t>
      </w:r>
      <w:r>
        <w:rPr>
          <w:rFonts w:hint="eastAsia" w:ascii="楷体" w:hAnsi="楷体" w:eastAsia="楷体"/>
          <w:szCs w:val="21"/>
        </w:rPr>
        <w:t>中国</w:t>
      </w:r>
      <w:r>
        <w:rPr>
          <w:rFonts w:ascii="楷体" w:hAnsi="楷体" w:eastAsia="楷体"/>
          <w:szCs w:val="21"/>
        </w:rPr>
        <w:t>人民银行许可</w:t>
      </w:r>
      <w:r>
        <w:rPr>
          <w:rFonts w:hint="eastAsia" w:ascii="楷体" w:hAnsi="楷体" w:eastAsia="楷体"/>
          <w:szCs w:val="21"/>
        </w:rPr>
        <w:t xml:space="preserve">、持有中国人民银行颁发的 </w:t>
      </w:r>
      <w:r>
        <w:fldChar w:fldCharType="begin"/>
      </w:r>
      <w:r>
        <w:instrText xml:space="preserve"> HYPERLINK "http://www.chinapnr.com/news/wp-content/uploads/licence-big.jpg" </w:instrText>
      </w:r>
      <w:r>
        <w:fldChar w:fldCharType="separate"/>
      </w:r>
      <w:r>
        <w:rPr>
          <w:rFonts w:hint="eastAsia" w:ascii="楷体" w:hAnsi="楷体" w:eastAsia="楷体"/>
          <w:szCs w:val="21"/>
        </w:rPr>
        <w:t>《</w:t>
      </w:r>
      <w:r>
        <w:rPr>
          <w:rFonts w:hint="eastAsia" w:ascii="楷体" w:hAnsi="楷体" w:eastAsia="楷体"/>
          <w:szCs w:val="21"/>
        </w:rPr>
        <w:fldChar w:fldCharType="end"/>
      </w:r>
      <w:r>
        <w:rPr>
          <w:rFonts w:hint="eastAsia" w:ascii="楷体" w:hAnsi="楷体" w:eastAsia="楷体"/>
          <w:szCs w:val="21"/>
        </w:rPr>
        <w:t>支付业务许可证</w:t>
      </w:r>
      <w:r>
        <w:fldChar w:fldCharType="begin"/>
      </w:r>
      <w:r>
        <w:instrText xml:space="preserve"> HYPERLINK "http://www.chinapnr.com/news/wp-content/uploads/licence-big.jpg" </w:instrText>
      </w:r>
      <w:r>
        <w:fldChar w:fldCharType="separate"/>
      </w:r>
      <w:r>
        <w:rPr>
          <w:rFonts w:hint="eastAsia" w:ascii="楷体" w:hAnsi="楷体" w:eastAsia="楷体"/>
          <w:szCs w:val="21"/>
        </w:rPr>
        <w:t>》</w:t>
      </w:r>
      <w:r>
        <w:rPr>
          <w:rFonts w:hint="eastAsia" w:ascii="楷体" w:hAnsi="楷体" w:eastAsia="楷体"/>
          <w:szCs w:val="21"/>
        </w:rPr>
        <w:fldChar w:fldCharType="end"/>
      </w:r>
      <w:r>
        <w:rPr>
          <w:rFonts w:ascii="楷体" w:hAnsi="楷体" w:eastAsia="楷体"/>
          <w:szCs w:val="21"/>
        </w:rPr>
        <w:t>，</w:t>
      </w:r>
      <w:r>
        <w:rPr>
          <w:rFonts w:hint="eastAsia" w:ascii="楷体" w:hAnsi="楷体" w:eastAsia="楷体"/>
          <w:szCs w:val="21"/>
        </w:rPr>
        <w:t>专业</w:t>
      </w:r>
      <w:r>
        <w:rPr>
          <w:rFonts w:ascii="楷体" w:hAnsi="楷体" w:eastAsia="楷体"/>
          <w:szCs w:val="21"/>
        </w:rPr>
        <w:t>从事银行卡收单及</w:t>
      </w:r>
      <w:r>
        <w:rPr>
          <w:rFonts w:hint="eastAsia" w:ascii="楷体" w:hAnsi="楷体" w:eastAsia="楷体"/>
          <w:szCs w:val="21"/>
        </w:rPr>
        <w:t>网络</w:t>
      </w:r>
      <w:r>
        <w:rPr>
          <w:rFonts w:ascii="楷体" w:hAnsi="楷体" w:eastAsia="楷体"/>
          <w:szCs w:val="21"/>
        </w:rPr>
        <w:t>支付</w:t>
      </w:r>
      <w:r>
        <w:rPr>
          <w:rFonts w:hint="eastAsia" w:ascii="楷体" w:hAnsi="楷体" w:eastAsia="楷体"/>
          <w:szCs w:val="21"/>
        </w:rPr>
        <w:t>等</w:t>
      </w:r>
      <w:r>
        <w:rPr>
          <w:rFonts w:ascii="楷体" w:hAnsi="楷体" w:eastAsia="楷体"/>
          <w:szCs w:val="21"/>
        </w:rPr>
        <w:t>综合支付</w:t>
      </w:r>
      <w:r>
        <w:rPr>
          <w:rFonts w:hint="eastAsia" w:ascii="楷体" w:hAnsi="楷体" w:eastAsia="楷体"/>
          <w:szCs w:val="21"/>
        </w:rPr>
        <w:t>业务</w:t>
      </w:r>
      <w:r>
        <w:rPr>
          <w:rFonts w:ascii="楷体" w:hAnsi="楷体" w:eastAsia="楷体"/>
          <w:szCs w:val="21"/>
        </w:rPr>
        <w:t>服务的</w:t>
      </w:r>
      <w:r>
        <w:rPr>
          <w:rFonts w:hint="eastAsia" w:ascii="楷体" w:hAnsi="楷体" w:eastAsia="楷体"/>
          <w:szCs w:val="21"/>
        </w:rPr>
        <w:t>第三方支付</w:t>
      </w:r>
      <w:r>
        <w:rPr>
          <w:rFonts w:ascii="楷体" w:hAnsi="楷体" w:eastAsia="楷体"/>
          <w:szCs w:val="21"/>
        </w:rPr>
        <w:t>机构。</w:t>
      </w:r>
    </w:p>
    <w:p>
      <w:pPr>
        <w:adjustRightInd w:val="0"/>
        <w:snapToGrid w:val="0"/>
        <w:ind w:firstLine="480"/>
        <w:rPr>
          <w:rFonts w:ascii="楷体" w:hAnsi="楷体" w:eastAsia="楷体"/>
          <w:szCs w:val="21"/>
        </w:rPr>
      </w:pPr>
      <w:r>
        <w:rPr>
          <w:rFonts w:hint="eastAsia" w:ascii="楷体" w:hAnsi="楷体" w:eastAsia="楷体"/>
          <w:szCs w:val="21"/>
        </w:rPr>
        <w:t>双方本着平等互利、诚实信用的原则，经友好协商签订本协议。</w:t>
      </w:r>
    </w:p>
    <w:p>
      <w:pPr>
        <w:adjustRightInd w:val="0"/>
        <w:snapToGrid w:val="0"/>
        <w:ind w:firstLine="480"/>
        <w:rPr>
          <w:rFonts w:ascii="楷体" w:hAnsi="楷体" w:eastAsia="楷体"/>
          <w:b/>
          <w:szCs w:val="21"/>
        </w:rPr>
      </w:pPr>
      <w:r>
        <w:rPr>
          <w:rFonts w:hint="eastAsia" w:ascii="楷体" w:hAnsi="楷体" w:eastAsia="楷体"/>
          <w:b/>
          <w:szCs w:val="21"/>
        </w:rPr>
        <w:t>甲方声明：乙方已采取合理方式提请其注意本协议的全部条款，并对其内容进行了充分说明。甲方自愿同意按照本协议的约定行使权利和履行义务。</w:t>
      </w:r>
    </w:p>
    <w:p>
      <w:pPr>
        <w:adjustRightInd w:val="0"/>
        <w:snapToGrid w:val="0"/>
        <w:rPr>
          <w:rFonts w:ascii="楷体" w:hAnsi="楷体" w:eastAsia="楷体"/>
          <w:b/>
          <w:szCs w:val="21"/>
        </w:rPr>
      </w:pPr>
    </w:p>
    <w:p>
      <w:pPr>
        <w:pStyle w:val="12"/>
        <w:numPr>
          <w:ilvl w:val="0"/>
          <w:numId w:val="2"/>
        </w:numPr>
        <w:ind w:firstLineChars="0"/>
        <w:jc w:val="center"/>
        <w:rPr>
          <w:rFonts w:ascii="楷体" w:hAnsi="楷体" w:eastAsia="楷体"/>
          <w:b/>
          <w:szCs w:val="21"/>
        </w:rPr>
      </w:pPr>
      <w:r>
        <w:rPr>
          <w:rFonts w:hint="eastAsia" w:ascii="楷体" w:hAnsi="楷体" w:eastAsia="楷体"/>
          <w:b/>
          <w:szCs w:val="21"/>
        </w:rPr>
        <w:t>释义</w:t>
      </w:r>
    </w:p>
    <w:p>
      <w:pPr>
        <w:pStyle w:val="12"/>
        <w:numPr>
          <w:ilvl w:val="0"/>
          <w:numId w:val="3"/>
        </w:numPr>
        <w:ind w:firstLineChars="0"/>
        <w:rPr>
          <w:rFonts w:ascii="楷体" w:hAnsi="楷体" w:eastAsia="楷体"/>
          <w:szCs w:val="21"/>
        </w:rPr>
      </w:pPr>
      <w:r>
        <w:rPr>
          <w:rFonts w:hint="eastAsia" w:ascii="楷体" w:hAnsi="楷体" w:eastAsia="楷体"/>
          <w:b/>
          <w:szCs w:val="21"/>
        </w:rPr>
        <w:t>综合支付</w:t>
      </w:r>
      <w:r>
        <w:rPr>
          <w:rFonts w:ascii="楷体" w:hAnsi="楷体" w:eastAsia="楷体"/>
          <w:b/>
          <w:szCs w:val="21"/>
        </w:rPr>
        <w:t>服务:</w:t>
      </w:r>
      <w:r>
        <w:rPr>
          <w:rFonts w:hint="eastAsia" w:ascii="楷体" w:hAnsi="楷体" w:eastAsia="楷体"/>
          <w:szCs w:val="21"/>
        </w:rPr>
        <w:t>指甲方作为乙方特约商户，按照</w:t>
      </w:r>
      <w:r>
        <w:rPr>
          <w:rFonts w:ascii="楷体" w:hAnsi="楷体" w:eastAsia="楷体"/>
          <w:szCs w:val="21"/>
        </w:rPr>
        <w:t>本协议</w:t>
      </w:r>
      <w:r>
        <w:rPr>
          <w:rFonts w:hint="eastAsia" w:ascii="楷体" w:hAnsi="楷体" w:eastAsia="楷体"/>
          <w:szCs w:val="21"/>
        </w:rPr>
        <w:t>的</w:t>
      </w:r>
      <w:r>
        <w:rPr>
          <w:rFonts w:ascii="楷体" w:hAnsi="楷体" w:eastAsia="楷体"/>
          <w:szCs w:val="21"/>
        </w:rPr>
        <w:t>约定</w:t>
      </w:r>
      <w:r>
        <w:rPr>
          <w:rFonts w:hint="eastAsia" w:ascii="楷体" w:hAnsi="楷体" w:eastAsia="楷体"/>
          <w:szCs w:val="21"/>
        </w:rPr>
        <w:t>,乙方</w:t>
      </w:r>
      <w:r>
        <w:rPr>
          <w:rFonts w:ascii="楷体" w:hAnsi="楷体" w:eastAsia="楷体"/>
          <w:szCs w:val="21"/>
        </w:rPr>
        <w:t>向甲方提供的</w:t>
      </w:r>
      <w:r>
        <w:rPr>
          <w:rFonts w:hint="eastAsia" w:ascii="楷体" w:hAnsi="楷体" w:eastAsia="楷体"/>
          <w:szCs w:val="21"/>
        </w:rPr>
        <w:t>融合银行卡收单支付</w:t>
      </w:r>
      <w:r>
        <w:rPr>
          <w:rFonts w:ascii="楷体" w:hAnsi="楷体" w:eastAsia="楷体"/>
          <w:szCs w:val="21"/>
        </w:rPr>
        <w:t>及网络支付</w:t>
      </w:r>
      <w:r>
        <w:rPr>
          <w:rFonts w:hint="eastAsia" w:ascii="楷体" w:hAnsi="楷体" w:eastAsia="楷体"/>
          <w:szCs w:val="21"/>
        </w:rPr>
        <w:t>等多个支付渠道的支付服务产品</w:t>
      </w:r>
      <w:r>
        <w:rPr>
          <w:rFonts w:ascii="楷体" w:hAnsi="楷体" w:eastAsia="楷体"/>
          <w:szCs w:val="21"/>
        </w:rPr>
        <w:t>。</w:t>
      </w:r>
    </w:p>
    <w:p>
      <w:pPr>
        <w:pStyle w:val="12"/>
        <w:numPr>
          <w:ilvl w:val="0"/>
          <w:numId w:val="3"/>
        </w:numPr>
        <w:ind w:firstLineChars="0"/>
        <w:rPr>
          <w:rFonts w:ascii="楷体" w:hAnsi="楷体" w:eastAsia="楷体"/>
          <w:szCs w:val="21"/>
        </w:rPr>
      </w:pPr>
      <w:r>
        <w:rPr>
          <w:rFonts w:hint="eastAsia" w:ascii="楷体" w:hAnsi="楷体" w:eastAsia="楷体"/>
          <w:b/>
          <w:szCs w:val="21"/>
        </w:rPr>
        <w:t>特约商户:</w:t>
      </w:r>
      <w:r>
        <w:rPr>
          <w:rFonts w:hint="eastAsia" w:ascii="楷体" w:hAnsi="楷体" w:eastAsia="楷体"/>
          <w:szCs w:val="21"/>
        </w:rPr>
        <w:t>指与收单机构(本协议特指乙方)签订银行卡受理协议、按约定受理银行卡并委托收单机构为其完成交易资金结算的企事业单位、个体工商户或其他组织(本协议特指甲方)。实体特约商户，是指通过实体经营场所提供商品或服务的特约商户。网络特约商户，是指基于公共网络信息系统提供商品或服务的特约商户。</w:t>
      </w:r>
    </w:p>
    <w:p>
      <w:pPr>
        <w:pStyle w:val="12"/>
        <w:numPr>
          <w:ilvl w:val="0"/>
          <w:numId w:val="3"/>
        </w:numPr>
        <w:ind w:firstLineChars="0"/>
        <w:rPr>
          <w:rFonts w:ascii="楷体" w:hAnsi="楷体" w:eastAsia="楷体"/>
          <w:szCs w:val="21"/>
        </w:rPr>
      </w:pPr>
      <w:r>
        <w:rPr>
          <w:rFonts w:hint="eastAsia" w:ascii="楷体" w:hAnsi="楷体" w:eastAsia="楷体"/>
          <w:b/>
          <w:szCs w:val="21"/>
        </w:rPr>
        <w:t>银行卡收单:</w:t>
      </w:r>
      <w:r>
        <w:rPr>
          <w:rFonts w:hint="eastAsia" w:ascii="楷体" w:hAnsi="楷体" w:eastAsia="楷体"/>
          <w:szCs w:val="21"/>
        </w:rPr>
        <w:t>指乙方</w:t>
      </w:r>
      <w:r>
        <w:rPr>
          <w:rFonts w:ascii="楷体" w:hAnsi="楷体" w:eastAsia="楷体"/>
          <w:szCs w:val="21"/>
        </w:rPr>
        <w:t>按本协议</w:t>
      </w:r>
      <w:r>
        <w:rPr>
          <w:rFonts w:hint="eastAsia" w:ascii="楷体" w:hAnsi="楷体" w:eastAsia="楷体"/>
          <w:szCs w:val="21"/>
        </w:rPr>
        <w:t>银行卡收单</w:t>
      </w:r>
      <w:r>
        <w:rPr>
          <w:rFonts w:ascii="楷体" w:hAnsi="楷体" w:eastAsia="楷体"/>
          <w:szCs w:val="21"/>
        </w:rPr>
        <w:t>条款约定</w:t>
      </w:r>
      <w:r>
        <w:rPr>
          <w:rFonts w:hint="eastAsia" w:ascii="楷体" w:hAnsi="楷体" w:eastAsia="楷体"/>
          <w:szCs w:val="21"/>
        </w:rPr>
        <w:t>，</w:t>
      </w:r>
      <w:r>
        <w:rPr>
          <w:rFonts w:ascii="楷体" w:hAnsi="楷体" w:eastAsia="楷体"/>
          <w:szCs w:val="21"/>
        </w:rPr>
        <w:t>甲方</w:t>
      </w:r>
      <w:r>
        <w:rPr>
          <w:rFonts w:hint="eastAsia" w:ascii="楷体" w:hAnsi="楷体" w:eastAsia="楷体"/>
          <w:szCs w:val="21"/>
        </w:rPr>
        <w:t>作为乙方</w:t>
      </w:r>
      <w:r>
        <w:rPr>
          <w:rFonts w:ascii="楷体" w:hAnsi="楷体" w:eastAsia="楷体"/>
          <w:szCs w:val="21"/>
        </w:rPr>
        <w:t>的实体特约商户，按约定受理银行卡并</w:t>
      </w:r>
      <w:r>
        <w:rPr>
          <w:rFonts w:hint="eastAsia" w:ascii="楷体" w:hAnsi="楷体" w:eastAsia="楷体"/>
          <w:szCs w:val="21"/>
        </w:rPr>
        <w:t>与客户</w:t>
      </w:r>
      <w:r>
        <w:rPr>
          <w:rFonts w:ascii="楷体" w:hAnsi="楷体" w:eastAsia="楷体"/>
          <w:szCs w:val="21"/>
        </w:rPr>
        <w:t>达成交易后，</w:t>
      </w:r>
      <w:r>
        <w:rPr>
          <w:rFonts w:hint="eastAsia" w:ascii="楷体" w:hAnsi="楷体" w:eastAsia="楷体"/>
          <w:szCs w:val="21"/>
        </w:rPr>
        <w:t>乙方</w:t>
      </w:r>
      <w:r>
        <w:rPr>
          <w:rFonts w:ascii="楷体" w:hAnsi="楷体" w:eastAsia="楷体"/>
          <w:szCs w:val="21"/>
        </w:rPr>
        <w:t>作为</w:t>
      </w:r>
      <w:r>
        <w:rPr>
          <w:rFonts w:hint="eastAsia" w:ascii="楷体" w:hAnsi="楷体" w:eastAsia="楷体"/>
          <w:szCs w:val="21"/>
        </w:rPr>
        <w:t>收单机构为甲方提供交易资金结算服务的行为。</w:t>
      </w:r>
    </w:p>
    <w:p>
      <w:pPr>
        <w:pStyle w:val="12"/>
        <w:numPr>
          <w:ilvl w:val="0"/>
          <w:numId w:val="3"/>
        </w:numPr>
        <w:ind w:firstLineChars="0"/>
        <w:rPr>
          <w:rFonts w:ascii="楷体" w:hAnsi="楷体" w:eastAsia="楷体"/>
          <w:szCs w:val="21"/>
        </w:rPr>
      </w:pPr>
      <w:r>
        <w:rPr>
          <w:rFonts w:hint="eastAsia" w:ascii="楷体" w:hAnsi="楷体" w:eastAsia="楷体"/>
          <w:b/>
          <w:szCs w:val="21"/>
        </w:rPr>
        <w:t>网络支付:</w:t>
      </w:r>
      <w:r>
        <w:rPr>
          <w:rFonts w:hint="eastAsia" w:ascii="楷体" w:hAnsi="楷体" w:eastAsia="楷体"/>
          <w:szCs w:val="21"/>
        </w:rPr>
        <w:t>指甲方</w:t>
      </w:r>
      <w:r>
        <w:rPr>
          <w:rFonts w:ascii="楷体" w:hAnsi="楷体" w:eastAsia="楷体"/>
          <w:szCs w:val="21"/>
        </w:rPr>
        <w:t>基于</w:t>
      </w:r>
      <w:r>
        <w:rPr>
          <w:rFonts w:hint="eastAsia" w:ascii="楷体" w:hAnsi="楷体" w:eastAsia="楷体"/>
          <w:szCs w:val="21"/>
        </w:rPr>
        <w:t>与客户</w:t>
      </w:r>
      <w:r>
        <w:rPr>
          <w:rFonts w:ascii="楷体" w:hAnsi="楷体" w:eastAsia="楷体"/>
          <w:szCs w:val="21"/>
        </w:rPr>
        <w:t>的</w:t>
      </w:r>
      <w:r>
        <w:rPr>
          <w:rFonts w:hint="eastAsia" w:ascii="楷体" w:hAnsi="楷体" w:eastAsia="楷体"/>
          <w:szCs w:val="21"/>
        </w:rPr>
        <w:t>交易约定</w:t>
      </w:r>
      <w:r>
        <w:rPr>
          <w:rFonts w:ascii="楷体" w:hAnsi="楷体" w:eastAsia="楷体"/>
          <w:szCs w:val="21"/>
        </w:rPr>
        <w:t>，</w:t>
      </w:r>
      <w:r>
        <w:rPr>
          <w:rFonts w:hint="eastAsia" w:ascii="楷体" w:hAnsi="楷体" w:eastAsia="楷体"/>
          <w:szCs w:val="21"/>
        </w:rPr>
        <w:t>乙方</w:t>
      </w:r>
      <w:r>
        <w:rPr>
          <w:rFonts w:ascii="楷体" w:hAnsi="楷体" w:eastAsia="楷体"/>
          <w:szCs w:val="21"/>
        </w:rPr>
        <w:t>按照本协议网络支付条款的约定，</w:t>
      </w:r>
      <w:r>
        <w:rPr>
          <w:rFonts w:hint="eastAsia" w:ascii="楷体" w:hAnsi="楷体" w:eastAsia="楷体"/>
          <w:szCs w:val="21"/>
        </w:rPr>
        <w:t>甲方作为</w:t>
      </w:r>
      <w:r>
        <w:rPr>
          <w:rFonts w:ascii="楷体" w:hAnsi="楷体" w:eastAsia="楷体"/>
          <w:szCs w:val="21"/>
        </w:rPr>
        <w:t>乙方的</w:t>
      </w:r>
      <w:r>
        <w:rPr>
          <w:rFonts w:hint="eastAsia" w:ascii="楷体" w:hAnsi="楷体" w:eastAsia="楷体"/>
          <w:szCs w:val="21"/>
        </w:rPr>
        <w:t>网络</w:t>
      </w:r>
      <w:r>
        <w:rPr>
          <w:rFonts w:ascii="楷体" w:hAnsi="楷体" w:eastAsia="楷体"/>
          <w:szCs w:val="21"/>
        </w:rPr>
        <w:t>特约商户，</w:t>
      </w:r>
      <w:r>
        <w:rPr>
          <w:rFonts w:hint="eastAsia" w:ascii="楷体" w:hAnsi="楷体" w:eastAsia="楷体"/>
          <w:szCs w:val="21"/>
        </w:rPr>
        <w:t>依托</w:t>
      </w:r>
      <w:r>
        <w:rPr>
          <w:rFonts w:ascii="楷体" w:hAnsi="楷体" w:eastAsia="楷体"/>
          <w:szCs w:val="21"/>
        </w:rPr>
        <w:t>互联网远程</w:t>
      </w:r>
      <w:r>
        <w:rPr>
          <w:rFonts w:hint="eastAsia" w:ascii="楷体" w:hAnsi="楷体" w:eastAsia="楷体"/>
          <w:szCs w:val="21"/>
        </w:rPr>
        <w:t>向乙方</w:t>
      </w:r>
      <w:r>
        <w:rPr>
          <w:rFonts w:ascii="楷体" w:hAnsi="楷体" w:eastAsia="楷体"/>
          <w:szCs w:val="21"/>
        </w:rPr>
        <w:t>发起支付指令，</w:t>
      </w:r>
      <w:r>
        <w:rPr>
          <w:rFonts w:hint="eastAsia" w:ascii="楷体" w:hAnsi="楷体" w:eastAsia="楷体"/>
          <w:szCs w:val="21"/>
        </w:rPr>
        <w:t>乙方为甲方提供</w:t>
      </w:r>
      <w:r>
        <w:rPr>
          <w:rFonts w:ascii="楷体" w:hAnsi="楷体" w:eastAsia="楷体"/>
          <w:szCs w:val="21"/>
        </w:rPr>
        <w:t>收款或付款等</w:t>
      </w:r>
      <w:r>
        <w:rPr>
          <w:rFonts w:hint="eastAsia" w:ascii="楷体" w:hAnsi="楷体" w:eastAsia="楷体"/>
          <w:szCs w:val="21"/>
        </w:rPr>
        <w:t>货币资金转移服务的活动</w:t>
      </w:r>
      <w:r>
        <w:rPr>
          <w:rFonts w:ascii="楷体" w:hAnsi="楷体" w:eastAsia="楷体"/>
          <w:szCs w:val="21"/>
        </w:rPr>
        <w:t>。</w:t>
      </w:r>
    </w:p>
    <w:p>
      <w:pPr>
        <w:pStyle w:val="12"/>
        <w:numPr>
          <w:ilvl w:val="0"/>
          <w:numId w:val="3"/>
        </w:numPr>
        <w:ind w:firstLineChars="0"/>
        <w:rPr>
          <w:rFonts w:ascii="楷体" w:hAnsi="楷体" w:eastAsia="楷体"/>
          <w:szCs w:val="21"/>
        </w:rPr>
      </w:pPr>
      <w:r>
        <w:rPr>
          <w:rFonts w:hint="eastAsia" w:ascii="楷体" w:hAnsi="楷体" w:eastAsia="楷体"/>
          <w:b/>
          <w:szCs w:val="21"/>
        </w:rPr>
        <w:t>交易：</w:t>
      </w:r>
      <w:r>
        <w:rPr>
          <w:rFonts w:hint="eastAsia" w:ascii="楷体" w:hAnsi="楷体" w:eastAsia="楷体"/>
          <w:szCs w:val="21"/>
        </w:rPr>
        <w:t>指甲方经营的实体</w:t>
      </w:r>
      <w:r>
        <w:rPr>
          <w:rFonts w:ascii="楷体" w:hAnsi="楷体" w:eastAsia="楷体"/>
          <w:szCs w:val="21"/>
        </w:rPr>
        <w:t>或</w:t>
      </w:r>
      <w:r>
        <w:rPr>
          <w:rFonts w:hint="eastAsia" w:ascii="楷体" w:hAnsi="楷体" w:eastAsia="楷体"/>
          <w:szCs w:val="21"/>
        </w:rPr>
        <w:t>网络特约商户依法</w:t>
      </w:r>
      <w:r>
        <w:rPr>
          <w:rFonts w:ascii="楷体" w:hAnsi="楷体" w:eastAsia="楷体"/>
          <w:szCs w:val="21"/>
        </w:rPr>
        <w:t>进行的</w:t>
      </w:r>
      <w:r>
        <w:rPr>
          <w:rFonts w:hint="eastAsia" w:ascii="楷体" w:hAnsi="楷体" w:eastAsia="楷体"/>
          <w:szCs w:val="21"/>
        </w:rPr>
        <w:t>货物</w:t>
      </w:r>
      <w:r>
        <w:rPr>
          <w:rFonts w:ascii="楷体" w:hAnsi="楷体" w:eastAsia="楷体"/>
          <w:szCs w:val="21"/>
        </w:rPr>
        <w:t>或服务</w:t>
      </w:r>
      <w:r>
        <w:rPr>
          <w:rFonts w:hint="eastAsia" w:ascii="楷体" w:hAnsi="楷体" w:eastAsia="楷体"/>
          <w:szCs w:val="21"/>
        </w:rPr>
        <w:t>贸易。</w:t>
      </w:r>
    </w:p>
    <w:p>
      <w:pPr>
        <w:pStyle w:val="12"/>
        <w:numPr>
          <w:ilvl w:val="0"/>
          <w:numId w:val="3"/>
        </w:numPr>
        <w:ind w:firstLineChars="0"/>
        <w:rPr>
          <w:rFonts w:ascii="楷体" w:hAnsi="楷体" w:eastAsia="楷体"/>
          <w:szCs w:val="21"/>
        </w:rPr>
      </w:pPr>
      <w:r>
        <w:rPr>
          <w:rFonts w:hint="eastAsia" w:ascii="楷体" w:hAnsi="楷体" w:eastAsia="楷体"/>
          <w:b/>
          <w:szCs w:val="21"/>
        </w:rPr>
        <w:t>甲方用户：</w:t>
      </w:r>
      <w:r>
        <w:rPr>
          <w:rFonts w:ascii="楷体" w:hAnsi="楷体" w:eastAsia="楷体"/>
          <w:szCs w:val="21"/>
        </w:rPr>
        <w:t>指通过甲方</w:t>
      </w:r>
      <w:r>
        <w:rPr>
          <w:rFonts w:hint="eastAsia" w:ascii="楷体" w:hAnsi="楷体" w:eastAsia="楷体"/>
          <w:szCs w:val="21"/>
        </w:rPr>
        <w:t>经营</w:t>
      </w:r>
      <w:r>
        <w:rPr>
          <w:rFonts w:ascii="楷体" w:hAnsi="楷体" w:eastAsia="楷体"/>
          <w:szCs w:val="21"/>
        </w:rPr>
        <w:t>的</w:t>
      </w:r>
      <w:r>
        <w:rPr>
          <w:rFonts w:hint="eastAsia" w:ascii="楷体" w:hAnsi="楷体" w:eastAsia="楷体"/>
          <w:szCs w:val="21"/>
        </w:rPr>
        <w:t>实体或网络特约商户购买</w:t>
      </w:r>
      <w:r>
        <w:rPr>
          <w:rFonts w:ascii="楷体" w:hAnsi="楷体" w:eastAsia="楷体"/>
          <w:szCs w:val="21"/>
        </w:rPr>
        <w:t>甲方</w:t>
      </w:r>
      <w:r>
        <w:rPr>
          <w:rFonts w:hint="eastAsia" w:ascii="楷体" w:hAnsi="楷体" w:eastAsia="楷体"/>
          <w:szCs w:val="21"/>
        </w:rPr>
        <w:t>提供</w:t>
      </w:r>
      <w:r>
        <w:rPr>
          <w:rFonts w:ascii="楷体" w:hAnsi="楷体" w:eastAsia="楷体"/>
          <w:szCs w:val="21"/>
        </w:rPr>
        <w:t>的货物或服务</w:t>
      </w:r>
      <w:r>
        <w:rPr>
          <w:rFonts w:hint="eastAsia" w:ascii="楷体" w:hAnsi="楷体" w:eastAsia="楷体"/>
          <w:szCs w:val="21"/>
        </w:rPr>
        <w:t>的自然人、</w:t>
      </w:r>
      <w:r>
        <w:rPr>
          <w:rFonts w:ascii="楷体" w:hAnsi="楷体" w:eastAsia="楷体"/>
          <w:szCs w:val="21"/>
        </w:rPr>
        <w:t>法人或其他组织。</w:t>
      </w:r>
    </w:p>
    <w:p>
      <w:pPr>
        <w:pStyle w:val="12"/>
        <w:numPr>
          <w:ilvl w:val="0"/>
          <w:numId w:val="3"/>
        </w:numPr>
        <w:ind w:firstLineChars="0"/>
        <w:rPr>
          <w:rFonts w:ascii="楷体" w:hAnsi="楷体" w:eastAsia="楷体"/>
          <w:szCs w:val="21"/>
        </w:rPr>
      </w:pPr>
      <w:r>
        <w:rPr>
          <w:rFonts w:hint="eastAsia" w:ascii="楷体" w:hAnsi="楷体" w:eastAsia="楷体"/>
          <w:b/>
          <w:szCs w:val="21"/>
        </w:rPr>
        <w:t>持卡人：</w:t>
      </w:r>
      <w:r>
        <w:rPr>
          <w:rFonts w:hint="eastAsia" w:ascii="楷体" w:hAnsi="楷体" w:eastAsia="楷体"/>
          <w:szCs w:val="21"/>
        </w:rPr>
        <w:t>指银行卡的合法持有人，</w:t>
      </w:r>
      <w:r>
        <w:rPr>
          <w:rFonts w:ascii="楷体" w:hAnsi="楷体" w:eastAsia="楷体"/>
          <w:szCs w:val="21"/>
        </w:rPr>
        <w:t>通常为</w:t>
      </w:r>
      <w:r>
        <w:rPr>
          <w:rFonts w:hint="eastAsia" w:ascii="楷体" w:hAnsi="楷体" w:eastAsia="楷体"/>
          <w:szCs w:val="21"/>
        </w:rPr>
        <w:t>“甲方用户</w:t>
      </w:r>
      <w:r>
        <w:rPr>
          <w:rFonts w:ascii="楷体" w:hAnsi="楷体" w:eastAsia="楷体"/>
          <w:szCs w:val="21"/>
        </w:rPr>
        <w:t>”</w:t>
      </w:r>
      <w:r>
        <w:rPr>
          <w:rFonts w:hint="eastAsia" w:ascii="楷体" w:hAnsi="楷体" w:eastAsia="楷体"/>
          <w:szCs w:val="21"/>
        </w:rPr>
        <w:t>。</w:t>
      </w:r>
    </w:p>
    <w:p>
      <w:pPr>
        <w:pStyle w:val="12"/>
        <w:numPr>
          <w:ilvl w:val="0"/>
          <w:numId w:val="3"/>
        </w:numPr>
        <w:ind w:firstLineChars="0"/>
        <w:rPr>
          <w:rFonts w:ascii="楷体" w:hAnsi="楷体" w:eastAsia="楷体"/>
          <w:szCs w:val="21"/>
        </w:rPr>
      </w:pPr>
      <w:r>
        <w:rPr>
          <w:rFonts w:hint="eastAsia" w:ascii="楷体" w:hAnsi="楷体" w:eastAsia="楷体"/>
          <w:b/>
          <w:szCs w:val="21"/>
        </w:rPr>
        <w:t>受理终端</w:t>
      </w:r>
      <w:r>
        <w:rPr>
          <w:rFonts w:hint="eastAsia" w:ascii="楷体" w:hAnsi="楷体" w:eastAsia="楷体"/>
          <w:szCs w:val="21"/>
        </w:rPr>
        <w:t>：是指布放在特约商户经营场所，用以与持卡人交互，实现甲方收款信息向乙方传输的设备，包括但不限于智能受理终端机具、台牌、扫码枪等。</w:t>
      </w:r>
    </w:p>
    <w:p>
      <w:pPr>
        <w:pStyle w:val="12"/>
        <w:numPr>
          <w:ilvl w:val="0"/>
          <w:numId w:val="3"/>
        </w:numPr>
        <w:ind w:firstLineChars="0"/>
        <w:rPr>
          <w:rFonts w:ascii="楷体" w:hAnsi="楷体" w:eastAsia="楷体"/>
          <w:szCs w:val="21"/>
        </w:rPr>
      </w:pPr>
      <w:r>
        <w:rPr>
          <w:rFonts w:hint="eastAsia" w:ascii="楷体" w:hAnsi="楷体" w:eastAsia="楷体"/>
          <w:b/>
          <w:szCs w:val="21"/>
        </w:rPr>
        <w:t>调单：</w:t>
      </w:r>
      <w:r>
        <w:rPr>
          <w:rFonts w:hint="eastAsia" w:ascii="楷体" w:hAnsi="楷体" w:eastAsia="楷体"/>
          <w:szCs w:val="21"/>
        </w:rPr>
        <w:t>指因持卡人或发卡机构对已经被清算的交易有疑问，在规定时间内发卡机构向收单机构（本协议项下即乙方，下同）提出调阅交易单据的过程，其目的在于确认消费，或进行责任划分。调单时限期满180天(即自交易发生之日起算180天)，满足退单条件的交易，发卡机构可能退单。</w:t>
      </w:r>
    </w:p>
    <w:p>
      <w:pPr>
        <w:pStyle w:val="12"/>
        <w:numPr>
          <w:ilvl w:val="0"/>
          <w:numId w:val="3"/>
        </w:numPr>
        <w:ind w:firstLineChars="0"/>
        <w:rPr>
          <w:rFonts w:ascii="楷体" w:hAnsi="楷体" w:eastAsia="楷体"/>
          <w:szCs w:val="21"/>
        </w:rPr>
      </w:pPr>
      <w:r>
        <w:rPr>
          <w:rFonts w:hint="eastAsia" w:ascii="楷体" w:hAnsi="楷体" w:eastAsia="楷体"/>
          <w:b/>
          <w:szCs w:val="21"/>
        </w:rPr>
        <w:t>退单：</w:t>
      </w:r>
      <w:r>
        <w:rPr>
          <w:rFonts w:hint="eastAsia" w:ascii="楷体" w:hAnsi="楷体" w:eastAsia="楷体"/>
          <w:szCs w:val="21"/>
        </w:rPr>
        <w:t>指发卡机构由于对收单机构请款交易的拒绝或对原始交易的疑问而向收单机构提出的拒绝付款，包括一次退单和二次退单。二次退单是指发卡机构对收单机构提交的消费类再请款交易有异议而向收单机构再次提出的拒绝付款。</w:t>
      </w:r>
    </w:p>
    <w:p>
      <w:pPr>
        <w:pStyle w:val="12"/>
        <w:numPr>
          <w:ilvl w:val="0"/>
          <w:numId w:val="3"/>
        </w:numPr>
        <w:ind w:firstLineChars="0"/>
        <w:rPr>
          <w:rFonts w:ascii="楷体" w:hAnsi="楷体" w:eastAsia="楷体"/>
          <w:szCs w:val="21"/>
        </w:rPr>
      </w:pPr>
      <w:r>
        <w:rPr>
          <w:rFonts w:hint="eastAsia" w:ascii="楷体" w:hAnsi="楷体" w:eastAsia="楷体"/>
          <w:b/>
          <w:szCs w:val="21"/>
        </w:rPr>
        <w:t>先行赔付：</w:t>
      </w:r>
      <w:r>
        <w:rPr>
          <w:rFonts w:hint="eastAsia" w:ascii="楷体" w:hAnsi="楷体" w:eastAsia="楷体"/>
          <w:szCs w:val="21"/>
        </w:rPr>
        <w:t>是指在约定的赔付时效内，商业银行或支付机构(本协议特指乙方)不能有效证明因客户原因导致的资金损失，由商业银行或其委托的支付机构对客户进行资金赔付的行为。</w:t>
      </w:r>
    </w:p>
    <w:p>
      <w:pPr>
        <w:pStyle w:val="12"/>
        <w:numPr>
          <w:ilvl w:val="0"/>
          <w:numId w:val="3"/>
        </w:numPr>
        <w:ind w:firstLineChars="0"/>
        <w:rPr>
          <w:rFonts w:ascii="楷体" w:hAnsi="楷体" w:eastAsia="楷体"/>
          <w:szCs w:val="21"/>
        </w:rPr>
      </w:pPr>
      <w:r>
        <w:rPr>
          <w:rFonts w:hint="eastAsia" w:ascii="楷体" w:hAnsi="楷体" w:eastAsia="楷体"/>
          <w:b/>
          <w:szCs w:val="21"/>
        </w:rPr>
        <w:t>异常交易：</w:t>
      </w:r>
      <w:r>
        <w:rPr>
          <w:rFonts w:hint="eastAsia" w:ascii="楷体" w:hAnsi="楷体" w:eastAsia="楷体"/>
          <w:szCs w:val="21"/>
        </w:rPr>
        <w:t>指甲方使用乙方支付服务或</w:t>
      </w:r>
      <w:r>
        <w:rPr>
          <w:rFonts w:ascii="楷体" w:hAnsi="楷体" w:eastAsia="楷体"/>
          <w:szCs w:val="21"/>
        </w:rPr>
        <w:t>在使用</w:t>
      </w:r>
      <w:r>
        <w:rPr>
          <w:rFonts w:hint="eastAsia" w:ascii="楷体" w:hAnsi="楷体" w:eastAsia="楷体"/>
          <w:szCs w:val="21"/>
        </w:rPr>
        <w:t>乙方</w:t>
      </w:r>
      <w:r>
        <w:rPr>
          <w:rFonts w:ascii="楷体" w:hAnsi="楷体" w:eastAsia="楷体"/>
          <w:szCs w:val="21"/>
        </w:rPr>
        <w:t>支付服务中</w:t>
      </w:r>
      <w:r>
        <w:rPr>
          <w:rFonts w:hint="eastAsia" w:ascii="楷体" w:hAnsi="楷体" w:eastAsia="楷体"/>
          <w:szCs w:val="21"/>
        </w:rPr>
        <w:t>所发生的以下</w:t>
      </w:r>
      <w:r>
        <w:rPr>
          <w:rFonts w:ascii="楷体" w:hAnsi="楷体" w:eastAsia="楷体"/>
          <w:szCs w:val="21"/>
        </w:rPr>
        <w:t>任意一种交易或行为：</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虚假申请：以虚假、陈旧、不实的资料或盗用其他商户资料，规避乙方的特约商户实名制管理和商户资质审核措施，向乙方申请为特约商户；</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泄漏账户及交易信息:甲方违反信息保密义务, 致使</w:t>
      </w:r>
      <w:r>
        <w:rPr>
          <w:rFonts w:ascii="楷体" w:hAnsi="楷体" w:eastAsia="楷体"/>
          <w:szCs w:val="21"/>
        </w:rPr>
        <w:t>客户银行卡账户</w:t>
      </w:r>
      <w:r>
        <w:rPr>
          <w:rFonts w:hint="eastAsia" w:ascii="楷体" w:hAnsi="楷体" w:eastAsia="楷体"/>
          <w:szCs w:val="21"/>
        </w:rPr>
        <w:t>信息、</w:t>
      </w:r>
      <w:r>
        <w:rPr>
          <w:rFonts w:ascii="楷体" w:hAnsi="楷体" w:eastAsia="楷体"/>
          <w:szCs w:val="21"/>
        </w:rPr>
        <w:t>交易信息泄露或</w:t>
      </w:r>
      <w:r>
        <w:rPr>
          <w:rFonts w:hint="eastAsia" w:ascii="楷体" w:hAnsi="楷体" w:eastAsia="楷体"/>
          <w:szCs w:val="21"/>
        </w:rPr>
        <w:t>产生</w:t>
      </w:r>
      <w:r>
        <w:rPr>
          <w:rFonts w:ascii="楷体" w:hAnsi="楷体" w:eastAsia="楷体"/>
          <w:szCs w:val="21"/>
        </w:rPr>
        <w:t>泄露风险的</w:t>
      </w:r>
      <w:r>
        <w:rPr>
          <w:rFonts w:hint="eastAsia" w:ascii="楷体" w:hAnsi="楷体" w:eastAsia="楷体"/>
          <w:szCs w:val="21"/>
        </w:rPr>
        <w:t>；</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套现(积分): 甲方自身或与他人共谋，以虚假交易、虚开价格、现金退货等方式套取现金(积分)；</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洗单:甲方将其他未签约商户的交易在甲方</w:t>
      </w:r>
      <w:r>
        <w:rPr>
          <w:rFonts w:ascii="楷体" w:hAnsi="楷体" w:eastAsia="楷体"/>
          <w:szCs w:val="21"/>
        </w:rPr>
        <w:t>进行交易</w:t>
      </w:r>
      <w:r>
        <w:rPr>
          <w:rFonts w:hint="eastAsia" w:ascii="楷体" w:hAnsi="楷体" w:eastAsia="楷体"/>
          <w:szCs w:val="21"/>
        </w:rPr>
        <w:t>,假冒甲方的交易与乙方清算；</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盗刷：假冒真实持卡人身份或更改银行卡信息后进行欺诈交易，包括变更账户信息后交易、手输卡号交易或非面对面交易；</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恶意倒闭:甲方接受持卡人</w:t>
      </w:r>
      <w:r>
        <w:rPr>
          <w:rFonts w:ascii="楷体" w:hAnsi="楷体" w:eastAsia="楷体"/>
          <w:szCs w:val="21"/>
        </w:rPr>
        <w:t>（客户）</w:t>
      </w:r>
      <w:r>
        <w:rPr>
          <w:rFonts w:hint="eastAsia" w:ascii="楷体" w:hAnsi="楷体" w:eastAsia="楷体"/>
          <w:szCs w:val="21"/>
        </w:rPr>
        <w:t>银行卡（</w:t>
      </w:r>
      <w:r>
        <w:rPr>
          <w:rFonts w:ascii="楷体" w:hAnsi="楷体" w:eastAsia="楷体"/>
          <w:szCs w:val="21"/>
        </w:rPr>
        <w:t>账户）支付</w:t>
      </w:r>
      <w:r>
        <w:rPr>
          <w:rFonts w:hint="eastAsia" w:ascii="楷体" w:hAnsi="楷体" w:eastAsia="楷体"/>
          <w:szCs w:val="21"/>
        </w:rPr>
        <w:t>预付款后故意破产,使他方承担退单损失；</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恶意拒付</w:t>
      </w:r>
      <w:r>
        <w:rPr>
          <w:rFonts w:ascii="楷体" w:hAnsi="楷体" w:eastAsia="楷体"/>
          <w:szCs w:val="21"/>
        </w:rPr>
        <w:t>：</w:t>
      </w:r>
      <w:r>
        <w:rPr>
          <w:rFonts w:hint="eastAsia" w:ascii="楷体" w:hAnsi="楷体" w:eastAsia="楷体"/>
          <w:szCs w:val="21"/>
        </w:rPr>
        <w:t>包括</w:t>
      </w:r>
      <w:r>
        <w:rPr>
          <w:rFonts w:ascii="楷体" w:hAnsi="楷体" w:eastAsia="楷体"/>
          <w:szCs w:val="21"/>
        </w:rPr>
        <w:t>但不限于</w:t>
      </w:r>
      <w:r>
        <w:rPr>
          <w:rFonts w:hint="eastAsia" w:ascii="楷体" w:hAnsi="楷体" w:eastAsia="楷体"/>
          <w:szCs w:val="21"/>
        </w:rPr>
        <w:t>商户与</w:t>
      </w:r>
      <w:r>
        <w:rPr>
          <w:rFonts w:ascii="楷体" w:hAnsi="楷体" w:eastAsia="楷体"/>
          <w:szCs w:val="21"/>
        </w:rPr>
        <w:t>持卡人合谋</w:t>
      </w:r>
      <w:r>
        <w:rPr>
          <w:rFonts w:hint="eastAsia" w:ascii="楷体" w:hAnsi="楷体" w:eastAsia="楷体"/>
          <w:szCs w:val="21"/>
        </w:rPr>
        <w:t>，</w:t>
      </w:r>
      <w:r>
        <w:rPr>
          <w:rFonts w:ascii="楷体" w:hAnsi="楷体" w:eastAsia="楷体"/>
          <w:szCs w:val="21"/>
        </w:rPr>
        <w:t>或商户</w:t>
      </w:r>
      <w:r>
        <w:rPr>
          <w:rFonts w:hint="eastAsia" w:ascii="楷体" w:hAnsi="楷体" w:eastAsia="楷体"/>
          <w:szCs w:val="21"/>
        </w:rPr>
        <w:t>未能</w:t>
      </w:r>
      <w:r>
        <w:rPr>
          <w:rFonts w:ascii="楷体" w:hAnsi="楷体" w:eastAsia="楷体"/>
          <w:szCs w:val="21"/>
        </w:rPr>
        <w:t>有效管理</w:t>
      </w:r>
      <w:r>
        <w:rPr>
          <w:rFonts w:hint="eastAsia" w:ascii="楷体" w:hAnsi="楷体" w:eastAsia="楷体"/>
          <w:szCs w:val="21"/>
        </w:rPr>
        <w:t>甲方公众号，</w:t>
      </w:r>
      <w:r>
        <w:rPr>
          <w:rFonts w:ascii="楷体" w:hAnsi="楷体" w:eastAsia="楷体"/>
          <w:szCs w:val="21"/>
        </w:rPr>
        <w:t>被</w:t>
      </w:r>
      <w:r>
        <w:rPr>
          <w:rFonts w:hint="eastAsia" w:ascii="楷体" w:hAnsi="楷体" w:eastAsia="楷体"/>
          <w:szCs w:val="21"/>
        </w:rPr>
        <w:t>持卡人</w:t>
      </w:r>
      <w:r>
        <w:rPr>
          <w:rFonts w:ascii="楷体" w:hAnsi="楷体" w:eastAsia="楷体"/>
          <w:szCs w:val="21"/>
        </w:rPr>
        <w:t>利用</w:t>
      </w:r>
      <w:r>
        <w:rPr>
          <w:rFonts w:hint="eastAsia" w:ascii="楷体" w:hAnsi="楷体" w:eastAsia="楷体"/>
          <w:szCs w:val="21"/>
        </w:rPr>
        <w:t>进行</w:t>
      </w:r>
      <w:r>
        <w:rPr>
          <w:rFonts w:ascii="楷体" w:hAnsi="楷体" w:eastAsia="楷体"/>
          <w:szCs w:val="21"/>
        </w:rPr>
        <w:t>恶意拒付的行为</w:t>
      </w:r>
      <w:r>
        <w:rPr>
          <w:rFonts w:hint="eastAsia" w:ascii="楷体" w:hAnsi="楷体" w:eastAsia="楷体"/>
          <w:szCs w:val="21"/>
        </w:rPr>
        <w:t>；</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经营不善</w:t>
      </w:r>
      <w:r>
        <w:rPr>
          <w:rFonts w:ascii="楷体" w:hAnsi="楷体" w:eastAsia="楷体"/>
          <w:szCs w:val="21"/>
        </w:rPr>
        <w:t>：</w:t>
      </w:r>
      <w:r>
        <w:rPr>
          <w:rFonts w:hint="eastAsia" w:ascii="楷体" w:hAnsi="楷体" w:eastAsia="楷体"/>
          <w:szCs w:val="21"/>
        </w:rPr>
        <w:t>甲方停业整顿、申请解散、申请破产或已经停业、破产；甲方被工商部门注销登记、吊销营业执照，由于违法被国家机关查处；</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其他：其他违反监管机构、各发卡组织、各</w:t>
      </w:r>
      <w:r>
        <w:rPr>
          <w:rFonts w:ascii="楷体" w:hAnsi="楷体" w:eastAsia="楷体"/>
          <w:szCs w:val="21"/>
        </w:rPr>
        <w:t>清算机构、</w:t>
      </w:r>
      <w:r>
        <w:rPr>
          <w:rFonts w:hint="eastAsia" w:ascii="楷体" w:hAnsi="楷体" w:eastAsia="楷体"/>
          <w:szCs w:val="21"/>
        </w:rPr>
        <w:t>各商业银行关于商户风险管理规定的行为。</w:t>
      </w:r>
    </w:p>
    <w:p>
      <w:pPr>
        <w:pStyle w:val="12"/>
        <w:numPr>
          <w:ilvl w:val="0"/>
          <w:numId w:val="3"/>
        </w:numPr>
        <w:ind w:firstLineChars="0"/>
        <w:rPr>
          <w:rFonts w:ascii="楷体" w:hAnsi="楷体" w:eastAsia="楷体"/>
          <w:szCs w:val="21"/>
        </w:rPr>
      </w:pPr>
      <w:r>
        <w:rPr>
          <w:rFonts w:hint="eastAsia" w:ascii="楷体" w:hAnsi="楷体" w:eastAsia="楷体"/>
          <w:b/>
          <w:szCs w:val="21"/>
        </w:rPr>
        <w:t>监管</w:t>
      </w:r>
      <w:r>
        <w:rPr>
          <w:rFonts w:ascii="楷体" w:hAnsi="楷体" w:eastAsia="楷体"/>
          <w:b/>
          <w:szCs w:val="21"/>
        </w:rPr>
        <w:t>机构</w:t>
      </w:r>
      <w:r>
        <w:rPr>
          <w:rFonts w:ascii="楷体" w:hAnsi="楷体" w:eastAsia="楷体"/>
          <w:szCs w:val="21"/>
        </w:rPr>
        <w:t>：</w:t>
      </w:r>
      <w:r>
        <w:rPr>
          <w:rFonts w:hint="eastAsia" w:ascii="楷体" w:hAnsi="楷体" w:eastAsia="楷体"/>
          <w:szCs w:val="21"/>
        </w:rPr>
        <w:t>在中华人民共和国、甲方注册地或经营所在地、交易发生地就本协议</w:t>
      </w:r>
      <w:r>
        <w:rPr>
          <w:rFonts w:ascii="楷体" w:hAnsi="楷体" w:eastAsia="楷体"/>
          <w:szCs w:val="21"/>
        </w:rPr>
        <w:t>相关</w:t>
      </w:r>
      <w:r>
        <w:rPr>
          <w:rFonts w:hint="eastAsia" w:ascii="楷体" w:hAnsi="楷体" w:eastAsia="楷体"/>
          <w:szCs w:val="21"/>
        </w:rPr>
        <w:t>业务，履行监管职责的国家机关或非国家机关性质的机构或组织。</w:t>
      </w:r>
    </w:p>
    <w:p>
      <w:pPr>
        <w:pStyle w:val="12"/>
        <w:numPr>
          <w:ilvl w:val="0"/>
          <w:numId w:val="3"/>
        </w:numPr>
        <w:ind w:firstLineChars="0"/>
        <w:rPr>
          <w:rFonts w:ascii="楷体" w:hAnsi="楷体" w:eastAsia="楷体"/>
          <w:szCs w:val="21"/>
        </w:rPr>
      </w:pPr>
      <w:r>
        <w:rPr>
          <w:rFonts w:hint="eastAsia" w:ascii="楷体" w:hAnsi="楷体" w:eastAsia="楷体"/>
          <w:b/>
          <w:szCs w:val="21"/>
        </w:rPr>
        <w:t>T日</w:t>
      </w:r>
      <w:r>
        <w:rPr>
          <w:rFonts w:ascii="楷体" w:hAnsi="楷体" w:eastAsia="楷体"/>
          <w:b/>
          <w:szCs w:val="21"/>
        </w:rPr>
        <w:t>：</w:t>
      </w:r>
      <w:r>
        <w:rPr>
          <w:rFonts w:ascii="楷体" w:hAnsi="楷体" w:eastAsia="楷体"/>
          <w:szCs w:val="21"/>
        </w:rPr>
        <w:t>即交易发生日</w:t>
      </w:r>
      <w:r>
        <w:rPr>
          <w:rFonts w:hint="eastAsia" w:ascii="楷体" w:hAnsi="楷体" w:eastAsia="楷体"/>
          <w:szCs w:val="21"/>
        </w:rPr>
        <w:t>；</w:t>
      </w:r>
      <w:r>
        <w:rPr>
          <w:rFonts w:hint="eastAsia" w:ascii="楷体" w:hAnsi="楷体" w:eastAsia="楷体"/>
          <w:bCs/>
          <w:szCs w:val="21"/>
        </w:rPr>
        <w:t>T+1日</w:t>
      </w:r>
      <w:r>
        <w:rPr>
          <w:rFonts w:hint="eastAsia" w:ascii="楷体" w:hAnsi="楷体" w:eastAsia="楷体"/>
          <w:szCs w:val="21"/>
        </w:rPr>
        <w:t>，即交易发生的下一个工作日；以上均以中国北京时间为准。</w:t>
      </w:r>
    </w:p>
    <w:p>
      <w:pPr>
        <w:pStyle w:val="12"/>
        <w:numPr>
          <w:ilvl w:val="0"/>
          <w:numId w:val="3"/>
        </w:numPr>
        <w:ind w:firstLineChars="0"/>
        <w:rPr>
          <w:rFonts w:ascii="楷体" w:hAnsi="楷体" w:eastAsia="楷体"/>
          <w:szCs w:val="21"/>
        </w:rPr>
      </w:pPr>
      <w:r>
        <w:rPr>
          <w:rFonts w:ascii="楷体" w:hAnsi="楷体" w:eastAsia="楷体"/>
          <w:b/>
          <w:szCs w:val="21"/>
        </w:rPr>
        <w:t>D</w:t>
      </w:r>
      <w:r>
        <w:rPr>
          <w:rFonts w:hint="eastAsia" w:ascii="楷体" w:hAnsi="楷体" w:eastAsia="楷体"/>
          <w:b/>
          <w:szCs w:val="21"/>
        </w:rPr>
        <w:t>+</w:t>
      </w:r>
      <w:r>
        <w:rPr>
          <w:rFonts w:ascii="楷体" w:hAnsi="楷体" w:eastAsia="楷体"/>
          <w:b/>
          <w:szCs w:val="21"/>
        </w:rPr>
        <w:t>0日</w:t>
      </w:r>
      <w:r>
        <w:rPr>
          <w:rFonts w:hint="eastAsia" w:ascii="楷体" w:hAnsi="楷体" w:eastAsia="楷体"/>
          <w:b/>
          <w:szCs w:val="21"/>
        </w:rPr>
        <w:t>：</w:t>
      </w:r>
      <w:r>
        <w:rPr>
          <w:rFonts w:ascii="楷体" w:hAnsi="楷体" w:eastAsia="楷体"/>
          <w:szCs w:val="21"/>
        </w:rPr>
        <w:t>即自然日</w:t>
      </w:r>
      <w:r>
        <w:rPr>
          <w:rFonts w:hint="eastAsia" w:ascii="楷体" w:hAnsi="楷体" w:eastAsia="楷体"/>
          <w:szCs w:val="21"/>
        </w:rPr>
        <w:t>；D+</w:t>
      </w:r>
      <w:r>
        <w:rPr>
          <w:rFonts w:ascii="楷体" w:hAnsi="楷体" w:eastAsia="楷体"/>
          <w:szCs w:val="21"/>
        </w:rPr>
        <w:t>1日</w:t>
      </w:r>
      <w:r>
        <w:rPr>
          <w:rFonts w:hint="eastAsia" w:ascii="楷体" w:hAnsi="楷体" w:eastAsia="楷体"/>
          <w:szCs w:val="21"/>
        </w:rPr>
        <w:t>，</w:t>
      </w:r>
      <w:r>
        <w:rPr>
          <w:rFonts w:ascii="楷体" w:hAnsi="楷体" w:eastAsia="楷体"/>
          <w:szCs w:val="21"/>
        </w:rPr>
        <w:t>即交易发生的下一个自然日</w:t>
      </w:r>
      <w:r>
        <w:rPr>
          <w:rFonts w:hint="eastAsia" w:ascii="楷体" w:hAnsi="楷体" w:eastAsia="楷体"/>
          <w:szCs w:val="21"/>
        </w:rPr>
        <w:t>；</w:t>
      </w:r>
      <w:bookmarkStart w:id="1" w:name="OLE_LINK21"/>
      <w:bookmarkStart w:id="2" w:name="OLE_LINK20"/>
      <w:r>
        <w:rPr>
          <w:rFonts w:hint="eastAsia" w:ascii="楷体" w:hAnsi="楷体" w:eastAsia="楷体"/>
          <w:szCs w:val="21"/>
        </w:rPr>
        <w:t>自定义时间：目前分为三档，交易发生时间分别为</w:t>
      </w:r>
      <w:bookmarkStart w:id="3" w:name="OLE_LINK3"/>
      <w:r>
        <w:rPr>
          <w:rFonts w:hint="eastAsia" w:ascii="楷体" w:hAnsi="楷体" w:eastAsia="楷体"/>
          <w:szCs w:val="21"/>
        </w:rPr>
        <w:t>3:00至次日3:0</w:t>
      </w:r>
      <w:r>
        <w:rPr>
          <w:rFonts w:ascii="楷体" w:hAnsi="楷体" w:eastAsia="楷体"/>
          <w:szCs w:val="21"/>
        </w:rPr>
        <w:t>0</w:t>
      </w:r>
      <w:bookmarkEnd w:id="3"/>
      <w:r>
        <w:rPr>
          <w:rFonts w:hint="eastAsia" w:ascii="楷体" w:hAnsi="楷体" w:eastAsia="楷体"/>
          <w:szCs w:val="21"/>
        </w:rPr>
        <w:t>、6:0</w:t>
      </w:r>
      <w:r>
        <w:rPr>
          <w:rFonts w:ascii="楷体" w:hAnsi="楷体" w:eastAsia="楷体"/>
          <w:szCs w:val="21"/>
        </w:rPr>
        <w:t>0至次日</w:t>
      </w:r>
      <w:r>
        <w:rPr>
          <w:rFonts w:hint="eastAsia" w:ascii="楷体" w:hAnsi="楷体" w:eastAsia="楷体"/>
          <w:szCs w:val="21"/>
        </w:rPr>
        <w:t>6:00、9:0</w:t>
      </w:r>
      <w:r>
        <w:rPr>
          <w:rFonts w:ascii="楷体" w:hAnsi="楷体" w:eastAsia="楷体"/>
          <w:szCs w:val="21"/>
        </w:rPr>
        <w:t>0至次日</w:t>
      </w:r>
      <w:r>
        <w:rPr>
          <w:rFonts w:hint="eastAsia" w:ascii="楷体" w:hAnsi="楷体" w:eastAsia="楷体"/>
          <w:szCs w:val="21"/>
        </w:rPr>
        <w:t>9:0</w:t>
      </w:r>
      <w:r>
        <w:rPr>
          <w:rFonts w:ascii="楷体" w:hAnsi="楷体" w:eastAsia="楷体"/>
          <w:szCs w:val="21"/>
        </w:rPr>
        <w:t>0</w:t>
      </w:r>
      <w:r>
        <w:rPr>
          <w:rFonts w:hint="eastAsia" w:ascii="楷体" w:hAnsi="楷体" w:eastAsia="楷体"/>
          <w:szCs w:val="21"/>
        </w:rPr>
        <w:t>。</w:t>
      </w:r>
      <w:bookmarkEnd w:id="1"/>
      <w:bookmarkEnd w:id="2"/>
      <w:r>
        <w:rPr>
          <w:rFonts w:hint="eastAsia" w:ascii="楷体" w:hAnsi="楷体" w:eastAsia="楷体"/>
          <w:szCs w:val="21"/>
        </w:rPr>
        <w:t>以上均以中国北京时间为准。</w:t>
      </w:r>
    </w:p>
    <w:p>
      <w:pPr>
        <w:pStyle w:val="12"/>
        <w:numPr>
          <w:ilvl w:val="0"/>
          <w:numId w:val="3"/>
        </w:numPr>
        <w:ind w:firstLineChars="0"/>
        <w:rPr>
          <w:rFonts w:ascii="楷体" w:hAnsi="楷体" w:eastAsia="楷体"/>
          <w:szCs w:val="21"/>
        </w:rPr>
      </w:pPr>
      <w:r>
        <w:rPr>
          <w:rFonts w:hint="eastAsia" w:ascii="楷体" w:hAnsi="楷体" w:eastAsia="楷体"/>
          <w:b/>
          <w:szCs w:val="21"/>
        </w:rPr>
        <w:t>乙方损失</w:t>
      </w:r>
      <w:r>
        <w:rPr>
          <w:rFonts w:hint="eastAsia" w:ascii="楷体" w:hAnsi="楷体" w:eastAsia="楷体"/>
          <w:szCs w:val="21"/>
        </w:rPr>
        <w:t>：本协议项下指因甲方违法违规或违反本协议项下约定给乙方造成的损失，包括但不限于因异常交易产生的乙方向持卡人先行赔付、乙方受银联追偿性清算、监管机构处罚、发卡行退单等造成</w:t>
      </w:r>
      <w:r>
        <w:rPr>
          <w:rFonts w:ascii="楷体" w:hAnsi="楷体" w:eastAsia="楷体"/>
          <w:szCs w:val="21"/>
        </w:rPr>
        <w:t>的损失</w:t>
      </w:r>
      <w:r>
        <w:rPr>
          <w:rFonts w:hint="eastAsia" w:ascii="楷体" w:hAnsi="楷体" w:eastAsia="楷体"/>
          <w:szCs w:val="21"/>
        </w:rPr>
        <w:t>。</w:t>
      </w:r>
    </w:p>
    <w:p>
      <w:pPr>
        <w:rPr>
          <w:rFonts w:ascii="楷体" w:hAnsi="楷体" w:eastAsia="楷体"/>
          <w:b/>
          <w:szCs w:val="21"/>
        </w:rPr>
      </w:pPr>
    </w:p>
    <w:p>
      <w:pPr>
        <w:pStyle w:val="12"/>
        <w:numPr>
          <w:ilvl w:val="0"/>
          <w:numId w:val="2"/>
        </w:numPr>
        <w:ind w:firstLineChars="0"/>
        <w:jc w:val="center"/>
        <w:rPr>
          <w:rFonts w:ascii="楷体" w:hAnsi="楷体" w:eastAsia="楷体"/>
          <w:b/>
          <w:szCs w:val="21"/>
        </w:rPr>
      </w:pPr>
      <w:r>
        <w:rPr>
          <w:rFonts w:hint="eastAsia" w:ascii="楷体" w:hAnsi="楷体" w:eastAsia="楷体"/>
          <w:b/>
          <w:szCs w:val="21"/>
        </w:rPr>
        <w:t>通用</w:t>
      </w:r>
      <w:r>
        <w:rPr>
          <w:rFonts w:ascii="楷体" w:hAnsi="楷体" w:eastAsia="楷体"/>
          <w:b/>
          <w:szCs w:val="21"/>
        </w:rPr>
        <w:t>条款</w:t>
      </w:r>
    </w:p>
    <w:p>
      <w:pPr>
        <w:pStyle w:val="12"/>
        <w:numPr>
          <w:ilvl w:val="0"/>
          <w:numId w:val="5"/>
        </w:numPr>
        <w:ind w:firstLineChars="0"/>
        <w:rPr>
          <w:rFonts w:ascii="楷体" w:hAnsi="楷体" w:eastAsia="楷体"/>
          <w:b/>
          <w:szCs w:val="21"/>
        </w:rPr>
      </w:pPr>
      <w:r>
        <w:rPr>
          <w:rFonts w:hint="eastAsia" w:ascii="楷体" w:hAnsi="楷体" w:eastAsia="楷体"/>
          <w:b/>
          <w:szCs w:val="21"/>
        </w:rPr>
        <w:t>甲方</w:t>
      </w:r>
      <w:r>
        <w:rPr>
          <w:rFonts w:ascii="楷体" w:hAnsi="楷体" w:eastAsia="楷体"/>
          <w:b/>
          <w:szCs w:val="21"/>
        </w:rPr>
        <w:t>权利与义务</w:t>
      </w:r>
    </w:p>
    <w:p>
      <w:pPr>
        <w:pStyle w:val="12"/>
        <w:numPr>
          <w:ilvl w:val="0"/>
          <w:numId w:val="6"/>
        </w:numPr>
        <w:ind w:firstLineChars="0"/>
        <w:rPr>
          <w:rFonts w:ascii="楷体" w:hAnsi="楷体" w:eastAsia="楷体"/>
          <w:szCs w:val="21"/>
        </w:rPr>
      </w:pPr>
      <w:r>
        <w:rPr>
          <w:rFonts w:hint="eastAsia" w:ascii="楷体" w:hAnsi="楷体" w:eastAsia="楷体"/>
          <w:b/>
          <w:szCs w:val="21"/>
        </w:rPr>
        <w:t>甲方应当严格遵守国家法律、法规及有关部门的规定，具备从事相关业务的资质条件，依法办理相应行政许可或备案，并遵守以下经营义务</w:t>
      </w:r>
      <w:r>
        <w:rPr>
          <w:rFonts w:hint="eastAsia" w:ascii="楷体" w:hAnsi="楷体" w:eastAsia="楷体"/>
          <w:szCs w:val="21"/>
        </w:rPr>
        <w:t>：</w:t>
      </w:r>
    </w:p>
    <w:p>
      <w:pPr>
        <w:pStyle w:val="12"/>
        <w:numPr>
          <w:ilvl w:val="0"/>
          <w:numId w:val="7"/>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甲方应制定购买商品或服务的相关业务流程，在接受客户交易请求前与客户明确商品或服务的交付方式、交付地点、交付时间等重要内容，并向客户明确退货政策、客户投诉渠道以及异常交易处理流程。上述内容均应通过甲方经营实体或经营</w:t>
      </w:r>
      <w:r>
        <w:rPr>
          <w:rFonts w:ascii="楷体" w:hAnsi="楷体" w:eastAsia="楷体" w:cs="宋体"/>
          <w:kern w:val="0"/>
          <w:szCs w:val="21"/>
        </w:rPr>
        <w:t>网站或</w:t>
      </w:r>
      <w:r>
        <w:rPr>
          <w:rFonts w:hint="eastAsia" w:ascii="楷体" w:hAnsi="楷体" w:eastAsia="楷体" w:cs="宋体"/>
          <w:kern w:val="0"/>
          <w:szCs w:val="21"/>
        </w:rPr>
        <w:t>其他任何形式告知客户；</w:t>
      </w:r>
    </w:p>
    <w:p>
      <w:pPr>
        <w:pStyle w:val="12"/>
        <w:numPr>
          <w:ilvl w:val="0"/>
          <w:numId w:val="7"/>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甲方收到成功收款信息后，应及时向客户提供相应的商品或服务。如甲方未能按约提供商品或服务的，应及时退款并确保资金原路退回。</w:t>
      </w:r>
    </w:p>
    <w:p>
      <w:pPr>
        <w:pStyle w:val="12"/>
        <w:numPr>
          <w:ilvl w:val="0"/>
          <w:numId w:val="7"/>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甲方负责及时处理因其提供</w:t>
      </w:r>
      <w:r>
        <w:rPr>
          <w:rFonts w:ascii="楷体" w:hAnsi="楷体" w:eastAsia="楷体" w:cs="宋体"/>
          <w:kern w:val="0"/>
          <w:szCs w:val="21"/>
        </w:rPr>
        <w:t>的</w:t>
      </w:r>
      <w:r>
        <w:rPr>
          <w:rFonts w:hint="eastAsia" w:ascii="楷体" w:hAnsi="楷体" w:eastAsia="楷体" w:cs="宋体"/>
          <w:kern w:val="0"/>
          <w:szCs w:val="21"/>
        </w:rPr>
        <w:t>商品</w:t>
      </w:r>
      <w:r>
        <w:rPr>
          <w:rFonts w:ascii="楷体" w:hAnsi="楷体" w:eastAsia="楷体" w:cs="宋体"/>
          <w:kern w:val="0"/>
          <w:szCs w:val="21"/>
        </w:rPr>
        <w:t>或服务</w:t>
      </w:r>
      <w:r>
        <w:rPr>
          <w:rFonts w:hint="eastAsia" w:ascii="楷体" w:hAnsi="楷体" w:eastAsia="楷体" w:cs="宋体"/>
          <w:kern w:val="0"/>
          <w:szCs w:val="21"/>
        </w:rPr>
        <w:t>瑕疵、网站信息或内容虚假等造成的投诉、退货等客户纠纷，并承担全部法律责任。如因上述原因导致乙方损失的，甲方应向乙方全额赔偿。</w:t>
      </w:r>
    </w:p>
    <w:p>
      <w:pPr>
        <w:pStyle w:val="12"/>
        <w:numPr>
          <w:ilvl w:val="0"/>
          <w:numId w:val="6"/>
        </w:numPr>
        <w:ind w:firstLineChars="0"/>
        <w:rPr>
          <w:rFonts w:ascii="楷体" w:hAnsi="楷体" w:eastAsia="楷体"/>
          <w:szCs w:val="21"/>
        </w:rPr>
      </w:pPr>
      <w:r>
        <w:rPr>
          <w:rFonts w:hint="eastAsia" w:ascii="楷体" w:hAnsi="楷体" w:eastAsia="楷体"/>
          <w:b/>
          <w:szCs w:val="21"/>
        </w:rPr>
        <w:t>甲方在向</w:t>
      </w:r>
      <w:r>
        <w:rPr>
          <w:rFonts w:ascii="楷体" w:hAnsi="楷体" w:eastAsia="楷体"/>
          <w:b/>
          <w:szCs w:val="21"/>
        </w:rPr>
        <w:t>乙方</w:t>
      </w:r>
      <w:r>
        <w:rPr>
          <w:rFonts w:hint="eastAsia" w:ascii="楷体" w:hAnsi="楷体" w:eastAsia="楷体"/>
          <w:b/>
          <w:szCs w:val="21"/>
        </w:rPr>
        <w:t>申请开通相关支付</w:t>
      </w:r>
      <w:r>
        <w:rPr>
          <w:rFonts w:ascii="楷体" w:hAnsi="楷体" w:eastAsia="楷体"/>
          <w:b/>
          <w:szCs w:val="21"/>
        </w:rPr>
        <w:t>服务功能</w:t>
      </w:r>
      <w:r>
        <w:rPr>
          <w:rFonts w:hint="eastAsia" w:ascii="楷体" w:hAnsi="楷体" w:eastAsia="楷体"/>
          <w:b/>
          <w:szCs w:val="21"/>
        </w:rPr>
        <w:t>时，应向乙方如实提供相关企业资质材料、品牌介绍信息、业务情况说明及相关法律证明，并授权乙方有权基于业务管理之需要对甲方资信状况进行调查与核实。甲方应保证上述提交资料的准确性、真实性、完整性、合法性。甲方承担因资料虚假、不准确、不真实而引发的所有后果。</w:t>
      </w:r>
      <w:r>
        <w:rPr>
          <w:rFonts w:hint="eastAsia" w:ascii="楷体" w:hAnsi="楷体" w:eastAsia="楷体"/>
          <w:szCs w:val="21"/>
        </w:rPr>
        <w:t>如甲方上述信息发生变更，包括但不限于主体变更、甲方企业名称变更、法定代表人更换、业务对接人变更等，应提前</w:t>
      </w:r>
      <w:r>
        <w:rPr>
          <w:rFonts w:ascii="楷体" w:hAnsi="楷体" w:eastAsia="楷体"/>
          <w:szCs w:val="21"/>
        </w:rPr>
        <w:t>5</w:t>
      </w:r>
      <w:r>
        <w:rPr>
          <w:rFonts w:hint="eastAsia" w:ascii="楷体" w:hAnsi="楷体" w:eastAsia="楷体"/>
          <w:szCs w:val="21"/>
        </w:rPr>
        <w:t>个工作日书面通知乙方，依据乙方要求配合完成变更确认手续并提供相关变更证明。如因</w:t>
      </w:r>
      <w:r>
        <w:rPr>
          <w:rFonts w:ascii="楷体" w:hAnsi="楷体" w:eastAsia="楷体"/>
          <w:szCs w:val="21"/>
        </w:rPr>
        <w:t>甲方</w:t>
      </w:r>
      <w:r>
        <w:rPr>
          <w:rFonts w:hint="eastAsia" w:ascii="楷体" w:hAnsi="楷体" w:eastAsia="楷体"/>
          <w:szCs w:val="21"/>
        </w:rPr>
        <w:t>提交</w:t>
      </w:r>
      <w:r>
        <w:rPr>
          <w:rFonts w:ascii="楷体" w:hAnsi="楷体" w:eastAsia="楷体"/>
          <w:szCs w:val="21"/>
        </w:rPr>
        <w:t>的资料</w:t>
      </w:r>
      <w:r>
        <w:rPr>
          <w:rFonts w:hint="eastAsia" w:ascii="楷体" w:hAnsi="楷体" w:eastAsia="楷体"/>
          <w:szCs w:val="21"/>
        </w:rPr>
        <w:t>不符合上述</w:t>
      </w:r>
      <w:r>
        <w:rPr>
          <w:rFonts w:ascii="楷体" w:hAnsi="楷体" w:eastAsia="楷体"/>
          <w:szCs w:val="21"/>
        </w:rPr>
        <w:t>要求，</w:t>
      </w:r>
      <w:r>
        <w:rPr>
          <w:rFonts w:hint="eastAsia" w:ascii="楷体" w:hAnsi="楷体" w:eastAsia="楷体"/>
          <w:szCs w:val="21"/>
        </w:rPr>
        <w:t>一经</w:t>
      </w:r>
      <w:r>
        <w:rPr>
          <w:rFonts w:ascii="楷体" w:hAnsi="楷体" w:eastAsia="楷体"/>
          <w:szCs w:val="21"/>
        </w:rPr>
        <w:t>发现，乙方有权</w:t>
      </w:r>
      <w:r>
        <w:rPr>
          <w:rFonts w:hint="eastAsia" w:ascii="楷体" w:hAnsi="楷体" w:eastAsia="楷体"/>
          <w:szCs w:val="21"/>
        </w:rPr>
        <w:t>随时</w:t>
      </w:r>
      <w:r>
        <w:rPr>
          <w:rFonts w:ascii="楷体" w:hAnsi="楷体" w:eastAsia="楷体"/>
          <w:szCs w:val="21"/>
        </w:rPr>
        <w:t>暂停向甲方提供本协议约定各项服务，而不承担违约责任。</w:t>
      </w:r>
    </w:p>
    <w:p>
      <w:pPr>
        <w:pStyle w:val="12"/>
        <w:numPr>
          <w:ilvl w:val="0"/>
          <w:numId w:val="6"/>
        </w:numPr>
        <w:ind w:firstLineChars="0"/>
        <w:rPr>
          <w:rFonts w:ascii="楷体" w:hAnsi="楷体" w:eastAsia="楷体"/>
          <w:b/>
          <w:szCs w:val="21"/>
        </w:rPr>
      </w:pPr>
      <w:r>
        <w:rPr>
          <w:rFonts w:hint="eastAsia" w:ascii="楷体" w:hAnsi="楷体" w:eastAsia="楷体"/>
          <w:b/>
          <w:szCs w:val="21"/>
        </w:rPr>
        <w:t>甲方应承诺发起的交易基于真实的交易背景，不得利用乙方提供的服务进行虚假交易。甲方应按乙方的要求向乙方提供详细的、真实可信的交易信息字段，交易信息至少包括：直接提供商品或服务的商户名称、商品订单号、商品名称、商品描述、交易金额、交易时间和地点、交易类型和渠道等。</w:t>
      </w:r>
    </w:p>
    <w:p>
      <w:pPr>
        <w:pStyle w:val="12"/>
        <w:numPr>
          <w:ilvl w:val="0"/>
          <w:numId w:val="6"/>
        </w:numPr>
        <w:ind w:firstLineChars="0"/>
        <w:rPr>
          <w:rFonts w:ascii="楷体" w:hAnsi="楷体" w:eastAsia="楷体"/>
          <w:b/>
          <w:szCs w:val="21"/>
        </w:rPr>
      </w:pPr>
      <w:r>
        <w:rPr>
          <w:rFonts w:hint="eastAsia" w:ascii="楷体" w:hAnsi="楷体" w:eastAsia="楷体"/>
          <w:b/>
          <w:szCs w:val="21"/>
        </w:rPr>
        <w:t>甲方应妥善保管交易产生的资料、数据(包括但不限于订单号、客户名称、身份证件号、交易日期、交易金额、所购商品内容、电子凭证、签购单或email签收回复（如有）等)，自交易完成之日起不少于五年。如因甲方保管不善或其他违约行为造成的相关资金风险和责任由甲方承担。如发生持卡人否认交易或拒付、监管机构的检查或法律法规要求提供的其他情形，甲方应积极协助乙方提供相关交易记录或凭证，自乙方通知之日起3个工作日内提供。</w:t>
      </w:r>
    </w:p>
    <w:p>
      <w:pPr>
        <w:pStyle w:val="12"/>
        <w:numPr>
          <w:ilvl w:val="0"/>
          <w:numId w:val="6"/>
        </w:numPr>
        <w:ind w:firstLineChars="0"/>
        <w:rPr>
          <w:rFonts w:ascii="楷体" w:hAnsi="楷体" w:eastAsia="楷体"/>
          <w:b/>
          <w:szCs w:val="21"/>
        </w:rPr>
      </w:pPr>
      <w:r>
        <w:rPr>
          <w:rFonts w:hint="eastAsia" w:ascii="楷体" w:hAnsi="楷体" w:eastAsia="楷体"/>
          <w:b/>
          <w:szCs w:val="21"/>
        </w:rPr>
        <w:t>若因异常交易导致乙方遭受损失,包括但不限于监管机构处罚或先行赔付等，甲方应当向乙方赔偿损失，同时乙方有权中止或终止本协议。</w:t>
      </w:r>
    </w:p>
    <w:p>
      <w:pPr>
        <w:pStyle w:val="12"/>
        <w:numPr>
          <w:ilvl w:val="0"/>
          <w:numId w:val="6"/>
        </w:numPr>
        <w:ind w:firstLineChars="0"/>
        <w:rPr>
          <w:rFonts w:ascii="楷体" w:hAnsi="楷体" w:eastAsia="楷体"/>
          <w:b/>
          <w:szCs w:val="21"/>
        </w:rPr>
      </w:pPr>
      <w:r>
        <w:rPr>
          <w:rFonts w:hint="eastAsia" w:ascii="楷体" w:hAnsi="楷体" w:eastAsia="楷体"/>
          <w:szCs w:val="21"/>
        </w:rPr>
        <w:t>甲方有权通过乙方进行交易情况查询，在查询过程中的任何问题可联系乙方解决。若甲方对乙方的账务处理有疑问，可向乙方书面提出，乙方应在收到甲方询问后的五个工作日内予以答复。</w:t>
      </w:r>
    </w:p>
    <w:p>
      <w:pPr>
        <w:pStyle w:val="12"/>
        <w:numPr>
          <w:ilvl w:val="0"/>
          <w:numId w:val="6"/>
        </w:numPr>
        <w:ind w:firstLineChars="0"/>
        <w:rPr>
          <w:rFonts w:ascii="楷体" w:hAnsi="楷体" w:eastAsia="楷体"/>
          <w:b/>
          <w:szCs w:val="21"/>
        </w:rPr>
      </w:pPr>
      <w:r>
        <w:rPr>
          <w:rFonts w:hint="eastAsia" w:ascii="楷体" w:hAnsi="楷体" w:eastAsia="楷体"/>
          <w:b/>
          <w:szCs w:val="21"/>
        </w:rPr>
        <w:t>甲方应遵守中国人民银行、银监会、银联、支付清算协会及国家或行业信息安全法律法规规范（如《银联卡收单机构账户信息安全管理标准》），不得采取任何方式截取持卡人任何信息（包括但不限于银行卡、CVV2等），不得代持卡人发出任何指令。否则，甲方应独立承担由此引起的一切法律责任和后果，乙方并有权据此终止本协议。</w:t>
      </w:r>
    </w:p>
    <w:p>
      <w:pPr>
        <w:pStyle w:val="12"/>
        <w:numPr>
          <w:ilvl w:val="0"/>
          <w:numId w:val="6"/>
        </w:numPr>
        <w:adjustRightInd w:val="0"/>
        <w:snapToGrid w:val="0"/>
        <w:ind w:firstLineChars="0"/>
        <w:rPr>
          <w:rFonts w:ascii="楷体" w:hAnsi="楷体" w:eastAsia="楷体"/>
          <w:b/>
          <w:szCs w:val="21"/>
        </w:rPr>
      </w:pPr>
      <w:r>
        <w:rPr>
          <w:rFonts w:hint="eastAsia" w:ascii="楷体" w:hAnsi="楷体" w:eastAsia="楷体"/>
          <w:b/>
          <w:szCs w:val="21"/>
        </w:rPr>
        <w:t>甲方应持续遵守银联发布的《银联卡支付信息安全管理标准》，并应承担支付信息安全管理责任。因甲方违反《银联卡支付信息安全管理标准》的约定而造成乙方、银联或其他第三方任何损失的，甲方应承担赔偿责任。</w:t>
      </w:r>
    </w:p>
    <w:p>
      <w:pPr>
        <w:pStyle w:val="12"/>
        <w:numPr>
          <w:ilvl w:val="0"/>
          <w:numId w:val="6"/>
        </w:numPr>
        <w:adjustRightInd w:val="0"/>
        <w:snapToGrid w:val="0"/>
        <w:ind w:firstLineChars="0"/>
        <w:rPr>
          <w:rFonts w:ascii="楷体" w:hAnsi="楷体" w:eastAsia="楷体"/>
          <w:b/>
          <w:szCs w:val="21"/>
        </w:rPr>
      </w:pPr>
      <w:r>
        <w:rPr>
          <w:rFonts w:hint="eastAsia" w:ascii="楷体" w:hAnsi="楷体" w:eastAsia="楷体"/>
          <w:b/>
          <w:szCs w:val="21"/>
        </w:rPr>
        <w:t>发生支付信息泄漏事件后，甲方应配合乙方、监管部门或中国银联风险管理委员会授权的第三方专业化检测机构开展泄漏原因及范围调查。</w:t>
      </w:r>
    </w:p>
    <w:p>
      <w:pPr>
        <w:pStyle w:val="12"/>
        <w:numPr>
          <w:ilvl w:val="0"/>
          <w:numId w:val="6"/>
        </w:numPr>
        <w:ind w:firstLineChars="0"/>
        <w:rPr>
          <w:rFonts w:ascii="楷体" w:hAnsi="楷体" w:eastAsia="楷体"/>
          <w:b/>
          <w:szCs w:val="21"/>
        </w:rPr>
      </w:pPr>
      <w:r>
        <w:rPr>
          <w:rFonts w:hint="eastAsia" w:ascii="楷体" w:hAnsi="楷体" w:eastAsia="楷体"/>
          <w:b/>
          <w:szCs w:val="21"/>
        </w:rPr>
        <w:t>甲方不得对乙方的服务系统和程序采取反向工程手段进行破解，不得对上述系统和程序（包括但不限于源程序、目标程序、软件文档、运行在本地电脑内存中的数据、客户端至服务器端的数据、服务器数据等）进行复制、修改、编译、整合和篡改，不得修改或增加乙方服务系统的原有功能。</w:t>
      </w:r>
    </w:p>
    <w:p>
      <w:pPr>
        <w:pStyle w:val="12"/>
        <w:numPr>
          <w:ilvl w:val="0"/>
          <w:numId w:val="6"/>
        </w:numPr>
        <w:ind w:firstLineChars="0"/>
        <w:rPr>
          <w:rFonts w:ascii="楷体" w:hAnsi="楷体" w:eastAsia="楷体"/>
          <w:szCs w:val="21"/>
        </w:rPr>
      </w:pPr>
      <w:r>
        <w:rPr>
          <w:rFonts w:hint="eastAsia" w:ascii="楷体" w:hAnsi="楷体" w:eastAsia="楷体"/>
          <w:szCs w:val="21"/>
        </w:rPr>
        <w:t>甲方不得把乙方提供的网络支付接口、安全协议及证书用于本协议范围以外的用途，也不得出租、转让给任何第三方使用。甲方不得将其他商户的交易伪造成自己的交易与乙方结算。双方终止合作后，甲方应及时销毁乙方提供的所有技术文档，不得擅自利用或转交任何其他第三方。</w:t>
      </w:r>
    </w:p>
    <w:p>
      <w:pPr>
        <w:pStyle w:val="12"/>
        <w:numPr>
          <w:ilvl w:val="0"/>
          <w:numId w:val="6"/>
        </w:numPr>
        <w:ind w:firstLineChars="0"/>
        <w:rPr>
          <w:rFonts w:ascii="楷体" w:hAnsi="楷体" w:eastAsia="楷体"/>
          <w:szCs w:val="21"/>
        </w:rPr>
      </w:pPr>
      <w:r>
        <w:rPr>
          <w:rFonts w:hint="eastAsia" w:ascii="楷体" w:hAnsi="楷体" w:eastAsia="楷体"/>
          <w:szCs w:val="21"/>
        </w:rPr>
        <w:t>甲方应根据乙方要求合理使用网络支付接口，保证在本协议约定的服务范围及交易类型内使用乙方提供的网络支付接口，不得违规挪用。网络支付接口的安装地址需于甲方的办公地址和从事经营活动的网络地址保持一致。</w:t>
      </w:r>
    </w:p>
    <w:p>
      <w:pPr>
        <w:pStyle w:val="12"/>
        <w:numPr>
          <w:ilvl w:val="0"/>
          <w:numId w:val="6"/>
        </w:numPr>
        <w:ind w:firstLineChars="0"/>
        <w:rPr>
          <w:rFonts w:ascii="楷体" w:hAnsi="楷体" w:eastAsia="楷体"/>
          <w:szCs w:val="21"/>
        </w:rPr>
      </w:pPr>
      <w:r>
        <w:rPr>
          <w:rFonts w:hint="eastAsia" w:ascii="楷体" w:hAnsi="楷体" w:eastAsia="楷体"/>
          <w:szCs w:val="21"/>
        </w:rPr>
        <w:t>甲方需遵循乙方制定的网络支付接口风险管理措施，包括网络支付接口的审批、使用、变更、撤销等操作流程。乙方有权根据甲方的交易情况对网络支付接口实施包括限额控制在内等各项交易风险管理措施。</w:t>
      </w:r>
    </w:p>
    <w:p>
      <w:pPr>
        <w:pStyle w:val="12"/>
        <w:numPr>
          <w:ilvl w:val="0"/>
          <w:numId w:val="6"/>
        </w:numPr>
        <w:ind w:firstLineChars="0"/>
        <w:rPr>
          <w:rFonts w:ascii="楷体" w:hAnsi="楷体" w:eastAsia="楷体"/>
          <w:szCs w:val="21"/>
        </w:rPr>
      </w:pPr>
      <w:r>
        <w:rPr>
          <w:rFonts w:hint="eastAsia" w:ascii="楷体" w:hAnsi="楷体" w:eastAsia="楷体"/>
          <w:szCs w:val="21"/>
        </w:rPr>
        <w:t>甲方保证依法使用乙方提供的网络支付接口及代付服务，甲方不得利用乙方的网络支付接口或代付服务从事任何违反中国法律、法规、规章、规范性文件及政策的活动、不得实施侵犯他人合法权益、违反公序良俗和诚实信用的行为</w:t>
      </w:r>
      <w:r>
        <w:rPr>
          <w:rFonts w:hint="eastAsia" w:ascii="楷体" w:hAnsi="楷体" w:eastAsia="楷体" w:cs="宋体"/>
          <w:kern w:val="0"/>
          <w:szCs w:val="21"/>
        </w:rPr>
        <w:t>,否则乙方有权立即关闭</w:t>
      </w:r>
      <w:r>
        <w:rPr>
          <w:rFonts w:hint="eastAsia" w:ascii="楷体" w:hAnsi="楷体" w:eastAsia="楷体"/>
          <w:szCs w:val="21"/>
        </w:rPr>
        <w:t>网络支付接口</w:t>
      </w:r>
      <w:r>
        <w:rPr>
          <w:rFonts w:hint="eastAsia" w:ascii="楷体" w:hAnsi="楷体" w:eastAsia="楷体" w:cs="宋体"/>
          <w:kern w:val="0"/>
          <w:szCs w:val="21"/>
        </w:rPr>
        <w:t>、终止本协议</w:t>
      </w:r>
      <w:r>
        <w:rPr>
          <w:rFonts w:hint="eastAsia" w:ascii="楷体" w:hAnsi="楷体" w:eastAsia="楷体"/>
          <w:szCs w:val="21"/>
        </w:rPr>
        <w:t>且不承担因此给甲方造成的任何损失。上述违法违规行为包括但不限于：</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从事非法交易行为，如洗钱、套现、涉赌、诈骗等行为；</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利用用户银行卡账户进行无真实交易背景的虚假交易，或与真实交易背景不相符的交易行为；</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使用盗窃、伪造的银行卡账户交易；</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甲方违反保密条款，将用户银行卡账户及交易信息泄露给不法分子使用；</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违规挪用网络支付接口；</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利用网络支付接口从事违法违规用途，如经营违法违规网络游戏等网络服务、销售法律禁止流通、限制流通商品或提供非法服务等；</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其他违反法律法规的行为。</w:t>
      </w:r>
    </w:p>
    <w:p>
      <w:pPr>
        <w:pStyle w:val="12"/>
        <w:numPr>
          <w:ilvl w:val="0"/>
          <w:numId w:val="6"/>
        </w:numPr>
        <w:ind w:firstLineChars="0"/>
        <w:rPr>
          <w:rFonts w:ascii="楷体" w:hAnsi="楷体" w:eastAsia="楷体"/>
          <w:szCs w:val="21"/>
        </w:rPr>
      </w:pPr>
      <w:r>
        <w:rPr>
          <w:rFonts w:hint="eastAsia" w:ascii="楷体" w:hAnsi="楷体" w:eastAsia="楷体"/>
          <w:szCs w:val="21"/>
        </w:rPr>
        <w:t>非经</w:t>
      </w:r>
      <w:r>
        <w:rPr>
          <w:rFonts w:ascii="楷体" w:hAnsi="楷体" w:eastAsia="楷体"/>
          <w:szCs w:val="21"/>
        </w:rPr>
        <w:t>乙方书面许可，</w:t>
      </w:r>
      <w:r>
        <w:rPr>
          <w:rFonts w:hint="eastAsia" w:ascii="楷体" w:hAnsi="楷体" w:eastAsia="楷体"/>
          <w:szCs w:val="21"/>
        </w:rPr>
        <w:t>甲方</w:t>
      </w:r>
      <w:r>
        <w:rPr>
          <w:rFonts w:ascii="楷体" w:hAnsi="楷体" w:eastAsia="楷体"/>
          <w:szCs w:val="21"/>
        </w:rPr>
        <w:t>不得将</w:t>
      </w:r>
      <w:r>
        <w:rPr>
          <w:rFonts w:hint="eastAsia" w:ascii="楷体" w:hAnsi="楷体" w:eastAsia="楷体"/>
          <w:szCs w:val="21"/>
        </w:rPr>
        <w:t>本协议约定</w:t>
      </w:r>
      <w:r>
        <w:rPr>
          <w:rFonts w:ascii="楷体" w:hAnsi="楷体" w:eastAsia="楷体"/>
          <w:szCs w:val="21"/>
        </w:rPr>
        <w:t>的权利义务进行转让或转委托。</w:t>
      </w:r>
    </w:p>
    <w:p>
      <w:pPr>
        <w:pStyle w:val="12"/>
        <w:numPr>
          <w:ilvl w:val="0"/>
          <w:numId w:val="6"/>
        </w:numPr>
        <w:ind w:firstLineChars="0"/>
        <w:rPr>
          <w:rFonts w:ascii="楷体" w:hAnsi="楷体" w:eastAsia="楷体"/>
          <w:szCs w:val="21"/>
        </w:rPr>
      </w:pPr>
      <w:r>
        <w:rPr>
          <w:rFonts w:hint="eastAsia" w:ascii="楷体" w:hAnsi="楷体" w:eastAsia="楷体"/>
          <w:szCs w:val="21"/>
        </w:rPr>
        <w:t>甲方同意配合乙方依据相关法律法规开展反洗钱工作以及银行、公安部门对交易的调查，并根据相关部门要求提供详细交易信息，包括交易客户具体身份信息及所购买商品或服务的具体信息等。</w:t>
      </w:r>
    </w:p>
    <w:p>
      <w:pPr>
        <w:pStyle w:val="12"/>
        <w:numPr>
          <w:ilvl w:val="0"/>
          <w:numId w:val="6"/>
        </w:numPr>
        <w:ind w:firstLineChars="0"/>
        <w:rPr>
          <w:rFonts w:ascii="楷体" w:hAnsi="楷体" w:eastAsia="楷体"/>
          <w:szCs w:val="21"/>
        </w:rPr>
      </w:pPr>
      <w:r>
        <w:rPr>
          <w:rFonts w:hint="eastAsia" w:ascii="楷体" w:hAnsi="楷体" w:eastAsia="楷体"/>
          <w:szCs w:val="21"/>
        </w:rPr>
        <w:t>甲方不得将乙方向其收取的支付服务费用转嫁给客户。</w:t>
      </w:r>
    </w:p>
    <w:p>
      <w:pPr>
        <w:pStyle w:val="12"/>
        <w:numPr>
          <w:ilvl w:val="0"/>
          <w:numId w:val="6"/>
        </w:numPr>
        <w:ind w:firstLineChars="0"/>
        <w:rPr>
          <w:rFonts w:ascii="楷体" w:hAnsi="楷体" w:eastAsia="楷体"/>
          <w:szCs w:val="21"/>
        </w:rPr>
      </w:pPr>
      <w:r>
        <w:rPr>
          <w:rFonts w:hint="eastAsia" w:ascii="楷体" w:hAnsi="楷体" w:eastAsia="楷体"/>
          <w:szCs w:val="21"/>
        </w:rPr>
        <w:t>甲方同意按监管规定，合法合规管理受理终端，例如不得擅自移机改变受理终端布放地址。</w:t>
      </w:r>
    </w:p>
    <w:p>
      <w:pPr>
        <w:pStyle w:val="12"/>
        <w:numPr>
          <w:ilvl w:val="0"/>
          <w:numId w:val="5"/>
        </w:numPr>
        <w:ind w:firstLineChars="0"/>
        <w:rPr>
          <w:rFonts w:ascii="楷体" w:hAnsi="楷体" w:eastAsia="楷体"/>
          <w:b/>
          <w:szCs w:val="21"/>
        </w:rPr>
      </w:pPr>
      <w:r>
        <w:rPr>
          <w:rFonts w:hint="eastAsia" w:ascii="楷体" w:hAnsi="楷体" w:eastAsia="楷体"/>
          <w:b/>
          <w:szCs w:val="21"/>
        </w:rPr>
        <w:t>乙方权利与义务</w:t>
      </w:r>
    </w:p>
    <w:p>
      <w:pPr>
        <w:pStyle w:val="12"/>
        <w:numPr>
          <w:ilvl w:val="0"/>
          <w:numId w:val="9"/>
        </w:numPr>
        <w:ind w:firstLineChars="0"/>
        <w:rPr>
          <w:rFonts w:ascii="楷体" w:hAnsi="楷体" w:eastAsia="楷体"/>
          <w:szCs w:val="21"/>
        </w:rPr>
      </w:pPr>
      <w:r>
        <w:rPr>
          <w:rFonts w:hint="eastAsia" w:ascii="楷体" w:hAnsi="楷体" w:eastAsia="楷体"/>
          <w:szCs w:val="21"/>
        </w:rPr>
        <w:t>乙方为甲方提供国内商业银行的支付信息交换、资金结算及退款服务，完成相应付款或退款功能，乙方有权根据监管机构要求或清算机构</w:t>
      </w:r>
      <w:r>
        <w:rPr>
          <w:rFonts w:ascii="楷体" w:hAnsi="楷体" w:eastAsia="楷体"/>
          <w:szCs w:val="21"/>
        </w:rPr>
        <w:t>或</w:t>
      </w:r>
      <w:r>
        <w:rPr>
          <w:rFonts w:hint="eastAsia" w:ascii="楷体" w:hAnsi="楷体" w:eastAsia="楷体"/>
          <w:szCs w:val="21"/>
        </w:rPr>
        <w:t>银行合作情况调整所支持的银行卡，但应及时通知甲方。</w:t>
      </w:r>
    </w:p>
    <w:p>
      <w:pPr>
        <w:pStyle w:val="12"/>
        <w:numPr>
          <w:ilvl w:val="0"/>
          <w:numId w:val="9"/>
        </w:numPr>
        <w:ind w:firstLineChars="0"/>
        <w:rPr>
          <w:rFonts w:ascii="楷体" w:hAnsi="楷体" w:eastAsia="楷体"/>
          <w:szCs w:val="21"/>
        </w:rPr>
      </w:pPr>
      <w:r>
        <w:rPr>
          <w:rFonts w:hint="eastAsia" w:ascii="楷体" w:hAnsi="楷体" w:eastAsia="楷体"/>
          <w:szCs w:val="21"/>
        </w:rPr>
        <w:t>乙方应确保甲方账户资金、交易资金的安全存放和准确及时划转。</w:t>
      </w:r>
    </w:p>
    <w:p>
      <w:pPr>
        <w:pStyle w:val="12"/>
        <w:numPr>
          <w:ilvl w:val="0"/>
          <w:numId w:val="9"/>
        </w:numPr>
        <w:ind w:firstLineChars="0"/>
        <w:rPr>
          <w:rFonts w:ascii="楷体" w:hAnsi="楷体" w:eastAsia="楷体"/>
          <w:b/>
          <w:szCs w:val="21"/>
        </w:rPr>
      </w:pPr>
      <w:r>
        <w:rPr>
          <w:rFonts w:hint="eastAsia" w:ascii="楷体" w:hAnsi="楷体" w:eastAsia="楷体"/>
          <w:b/>
          <w:szCs w:val="21"/>
        </w:rPr>
        <w:t>乙方可拒绝支付或追索甲方违反国家法律法规或本协议约定的有关款项。</w:t>
      </w:r>
    </w:p>
    <w:p>
      <w:pPr>
        <w:pStyle w:val="12"/>
        <w:numPr>
          <w:ilvl w:val="0"/>
          <w:numId w:val="9"/>
        </w:numPr>
        <w:ind w:firstLineChars="0"/>
        <w:rPr>
          <w:rFonts w:ascii="楷体" w:hAnsi="楷体" w:eastAsia="楷体"/>
          <w:b/>
          <w:szCs w:val="21"/>
        </w:rPr>
      </w:pPr>
      <w:r>
        <w:rPr>
          <w:rFonts w:hint="eastAsia" w:ascii="楷体" w:hAnsi="楷体" w:eastAsia="楷体"/>
          <w:b/>
          <w:szCs w:val="21"/>
        </w:rPr>
        <w:t>乙方有权为防控交易风险，依据相关监管规定，在提供支付服务时通过多种方式进行身份认证及交易验证，甲方有权配合提供交易验证要素，由于身份认证或交易验证不通过的，乙方有权拒绝提供支付服务。</w:t>
      </w:r>
    </w:p>
    <w:p>
      <w:pPr>
        <w:pStyle w:val="12"/>
        <w:numPr>
          <w:ilvl w:val="0"/>
          <w:numId w:val="9"/>
        </w:numPr>
        <w:ind w:firstLineChars="0"/>
        <w:rPr>
          <w:rFonts w:ascii="楷体" w:hAnsi="楷体" w:eastAsia="楷体"/>
          <w:b/>
          <w:szCs w:val="21"/>
        </w:rPr>
      </w:pPr>
      <w:r>
        <w:rPr>
          <w:rFonts w:hint="eastAsia" w:ascii="楷体" w:hAnsi="楷体" w:eastAsia="楷体"/>
          <w:b/>
          <w:szCs w:val="21"/>
        </w:rPr>
        <w:t>乙方发现或认为甲方存在异常</w:t>
      </w:r>
      <w:r>
        <w:rPr>
          <w:rFonts w:ascii="楷体" w:hAnsi="楷体" w:eastAsia="楷体"/>
          <w:b/>
          <w:szCs w:val="21"/>
        </w:rPr>
        <w:t>交易</w:t>
      </w:r>
      <w:r>
        <w:rPr>
          <w:rFonts w:hint="eastAsia" w:ascii="楷体" w:hAnsi="楷体" w:eastAsia="楷体"/>
          <w:b/>
          <w:szCs w:val="21"/>
        </w:rPr>
        <w:t>的，乙方有权采取</w:t>
      </w:r>
      <w:r>
        <w:rPr>
          <w:rFonts w:ascii="楷体" w:hAnsi="楷体" w:eastAsia="楷体"/>
          <w:b/>
          <w:szCs w:val="21"/>
        </w:rPr>
        <w:t>包括但不限于以下措施：</w:t>
      </w:r>
      <w:r>
        <w:rPr>
          <w:rFonts w:hint="eastAsia" w:ascii="楷体" w:hAnsi="楷体" w:eastAsia="楷体"/>
          <w:b/>
          <w:szCs w:val="21"/>
        </w:rPr>
        <w:t>立即解除本协议，同时终止甲方的银行卡交易、收回布放在甲方的</w:t>
      </w:r>
      <w:r>
        <w:rPr>
          <w:rFonts w:ascii="楷体" w:hAnsi="楷体" w:eastAsia="楷体"/>
          <w:b/>
          <w:szCs w:val="21"/>
        </w:rPr>
        <w:t>受理终端</w:t>
      </w:r>
      <w:r>
        <w:rPr>
          <w:rFonts w:hint="eastAsia" w:ascii="楷体" w:hAnsi="楷体" w:eastAsia="楷体"/>
          <w:b/>
          <w:szCs w:val="21"/>
        </w:rPr>
        <w:t>与交易凭证、暂停或暂缓结算交易款、要求甲方及时提供所有的交易材料证明，并对其他必要的财产采取保全措施。乙方亦有权利向相关银行、清算</w:t>
      </w:r>
      <w:r>
        <w:rPr>
          <w:rFonts w:ascii="楷体" w:hAnsi="楷体" w:eastAsia="楷体"/>
          <w:b/>
          <w:szCs w:val="21"/>
        </w:rPr>
        <w:t>机构、</w:t>
      </w:r>
      <w:r>
        <w:rPr>
          <w:rFonts w:hint="eastAsia" w:ascii="楷体" w:hAnsi="楷体" w:eastAsia="楷体"/>
          <w:b/>
          <w:szCs w:val="21"/>
        </w:rPr>
        <w:t>发卡组织、中国人民银行、支付清算协会和各司法机关报告甲方的行为。因甲方的异常</w:t>
      </w:r>
      <w:r>
        <w:rPr>
          <w:rFonts w:ascii="楷体" w:hAnsi="楷体" w:eastAsia="楷体"/>
          <w:b/>
          <w:szCs w:val="21"/>
        </w:rPr>
        <w:t>交易</w:t>
      </w:r>
      <w:r>
        <w:rPr>
          <w:rFonts w:hint="eastAsia" w:ascii="楷体" w:hAnsi="楷体" w:eastAsia="楷体"/>
          <w:b/>
          <w:szCs w:val="21"/>
        </w:rPr>
        <w:t>行为给乙方造成损失的，由甲方承担赔偿责任，</w:t>
      </w:r>
      <w:r>
        <w:rPr>
          <w:rFonts w:ascii="楷体" w:hAnsi="楷体" w:eastAsia="楷体"/>
          <w:b/>
          <w:szCs w:val="21"/>
        </w:rPr>
        <w:t>方式包括但不限于：扣除</w:t>
      </w:r>
      <w:r>
        <w:rPr>
          <w:rFonts w:hint="eastAsia" w:ascii="楷体" w:hAnsi="楷体" w:eastAsia="楷体"/>
          <w:b/>
          <w:szCs w:val="21"/>
        </w:rPr>
        <w:t>甲方</w:t>
      </w:r>
      <w:r>
        <w:rPr>
          <w:rFonts w:ascii="楷体" w:hAnsi="楷体" w:eastAsia="楷体"/>
          <w:b/>
          <w:szCs w:val="21"/>
        </w:rPr>
        <w:t>待结算</w:t>
      </w:r>
      <w:r>
        <w:rPr>
          <w:rFonts w:hint="eastAsia" w:ascii="楷体" w:hAnsi="楷体" w:eastAsia="楷体"/>
          <w:b/>
          <w:szCs w:val="21"/>
        </w:rPr>
        <w:t>交易</w:t>
      </w:r>
      <w:r>
        <w:rPr>
          <w:rFonts w:ascii="楷体" w:hAnsi="楷体" w:eastAsia="楷体"/>
          <w:b/>
          <w:szCs w:val="21"/>
        </w:rPr>
        <w:t>资金</w:t>
      </w:r>
      <w:r>
        <w:rPr>
          <w:rFonts w:hint="eastAsia" w:ascii="楷体" w:hAnsi="楷体" w:eastAsia="楷体"/>
          <w:b/>
          <w:szCs w:val="21"/>
        </w:rPr>
        <w:t>、甲方</w:t>
      </w:r>
      <w:r>
        <w:rPr>
          <w:rFonts w:ascii="楷体" w:hAnsi="楷体" w:eastAsia="楷体"/>
          <w:b/>
          <w:szCs w:val="21"/>
        </w:rPr>
        <w:t>支付赔偿</w:t>
      </w:r>
      <w:r>
        <w:rPr>
          <w:rFonts w:hint="eastAsia" w:ascii="楷体" w:hAnsi="楷体" w:eastAsia="楷体"/>
          <w:b/>
          <w:szCs w:val="21"/>
        </w:rPr>
        <w:t>金</w:t>
      </w:r>
      <w:r>
        <w:rPr>
          <w:rFonts w:ascii="楷体" w:hAnsi="楷体" w:eastAsia="楷体"/>
          <w:b/>
          <w:szCs w:val="21"/>
        </w:rPr>
        <w:t>等。</w:t>
      </w:r>
    </w:p>
    <w:p>
      <w:pPr>
        <w:pStyle w:val="12"/>
        <w:numPr>
          <w:ilvl w:val="0"/>
          <w:numId w:val="9"/>
        </w:numPr>
        <w:ind w:firstLineChars="0"/>
        <w:rPr>
          <w:rFonts w:ascii="楷体" w:hAnsi="楷体" w:eastAsia="楷体"/>
          <w:szCs w:val="21"/>
        </w:rPr>
      </w:pPr>
      <w:r>
        <w:rPr>
          <w:rFonts w:hint="eastAsia" w:ascii="楷体" w:hAnsi="楷体" w:eastAsia="楷体"/>
          <w:szCs w:val="21"/>
        </w:rPr>
        <w:t>乙方为甲方提供多功能的支付平台系统，包括网络传输加密通道，支付信息传输的软件接口规范、配置安全传输协议、后台管理权限设定等。</w:t>
      </w:r>
    </w:p>
    <w:p>
      <w:pPr>
        <w:pStyle w:val="12"/>
        <w:numPr>
          <w:ilvl w:val="0"/>
          <w:numId w:val="9"/>
        </w:numPr>
        <w:ind w:firstLineChars="0"/>
        <w:rPr>
          <w:rFonts w:ascii="楷体" w:hAnsi="楷体" w:eastAsia="楷体"/>
          <w:szCs w:val="21"/>
        </w:rPr>
      </w:pPr>
      <w:r>
        <w:rPr>
          <w:rFonts w:hint="eastAsia" w:ascii="楷体" w:hAnsi="楷体" w:eastAsia="楷体"/>
          <w:szCs w:val="21"/>
        </w:rPr>
        <w:t>乙方负责自身支付系统的开发建设、运行和管理，应确保该系统的安全性。</w:t>
      </w:r>
    </w:p>
    <w:p>
      <w:pPr>
        <w:pStyle w:val="12"/>
        <w:numPr>
          <w:ilvl w:val="0"/>
          <w:numId w:val="9"/>
        </w:numPr>
        <w:ind w:firstLineChars="0"/>
        <w:rPr>
          <w:rFonts w:ascii="楷体" w:hAnsi="楷体" w:eastAsia="楷体"/>
          <w:szCs w:val="21"/>
        </w:rPr>
      </w:pPr>
      <w:r>
        <w:rPr>
          <w:rFonts w:hint="eastAsia" w:ascii="楷体" w:hAnsi="楷体" w:eastAsia="楷体"/>
          <w:szCs w:val="21"/>
        </w:rPr>
        <w:t>乙方为甲方提供商户信息管理，以及网上交易明细、资金结算信息及退款信息查询服务。</w:t>
      </w:r>
    </w:p>
    <w:p>
      <w:pPr>
        <w:pStyle w:val="12"/>
        <w:numPr>
          <w:ilvl w:val="0"/>
          <w:numId w:val="9"/>
        </w:numPr>
        <w:ind w:firstLineChars="0"/>
        <w:rPr>
          <w:rFonts w:ascii="楷体" w:hAnsi="楷体" w:eastAsia="楷体"/>
          <w:szCs w:val="21"/>
        </w:rPr>
      </w:pPr>
      <w:r>
        <w:rPr>
          <w:rFonts w:hint="eastAsia" w:ascii="楷体" w:hAnsi="楷体" w:eastAsia="楷体"/>
          <w:szCs w:val="21"/>
        </w:rPr>
        <w:t>乙方为甲方及客户提供客户电话服务，负责解答甲方及其客户在使用乙方支付服务中遇到的交易查询、数据对账、资金结算等有关问题。乙方投诉受理电话：400-820-2819（投诉受理时间为工作日9:00-17:30）。</w:t>
      </w:r>
    </w:p>
    <w:p>
      <w:pPr>
        <w:pStyle w:val="12"/>
        <w:numPr>
          <w:ilvl w:val="0"/>
          <w:numId w:val="9"/>
        </w:numPr>
        <w:ind w:firstLineChars="0"/>
        <w:rPr>
          <w:rFonts w:ascii="楷体" w:hAnsi="楷体" w:eastAsia="楷体"/>
          <w:szCs w:val="21"/>
        </w:rPr>
      </w:pPr>
      <w:r>
        <w:rPr>
          <w:rFonts w:hint="eastAsia" w:ascii="楷体" w:hAnsi="楷体" w:eastAsia="楷体"/>
          <w:szCs w:val="21"/>
        </w:rPr>
        <w:t>乙方应为甲方提供本协议约定的各项支付服务，并可按照约定向甲方收取相关服务费用。</w:t>
      </w:r>
    </w:p>
    <w:p>
      <w:pPr>
        <w:pStyle w:val="12"/>
        <w:numPr>
          <w:ilvl w:val="0"/>
          <w:numId w:val="9"/>
        </w:numPr>
        <w:ind w:firstLineChars="0"/>
        <w:rPr>
          <w:rFonts w:ascii="楷体" w:hAnsi="楷体" w:eastAsia="楷体"/>
          <w:b/>
          <w:szCs w:val="21"/>
        </w:rPr>
      </w:pPr>
      <w:r>
        <w:rPr>
          <w:rFonts w:hint="eastAsia" w:ascii="楷体" w:hAnsi="楷体" w:eastAsia="楷体"/>
          <w:b/>
          <w:szCs w:val="21"/>
        </w:rPr>
        <w:t>如果发现同一特约商户或者同一个人控制的特约商户反复更换服务机构等异常状况的，乙方有权要求其提供相关辅助材料及情况说明等相关内容以证明其行为的正常，若拒绝提供或无法证明其行为正常的，则乙方有权拒绝或停止为其提供服务。</w:t>
      </w:r>
    </w:p>
    <w:p>
      <w:pPr>
        <w:pStyle w:val="12"/>
        <w:numPr>
          <w:ilvl w:val="0"/>
          <w:numId w:val="9"/>
        </w:numPr>
        <w:ind w:firstLineChars="0"/>
        <w:rPr>
          <w:rFonts w:ascii="楷体" w:hAnsi="楷体" w:eastAsia="楷体"/>
          <w:b/>
          <w:szCs w:val="21"/>
        </w:rPr>
      </w:pPr>
      <w:r>
        <w:rPr>
          <w:rFonts w:hint="eastAsia" w:ascii="楷体" w:hAnsi="楷体" w:eastAsia="楷体"/>
          <w:b/>
          <w:szCs w:val="21"/>
        </w:rPr>
        <w:t>若发现特约商户或其法定代表人存在于中国支付清算协会及银行卡清算机构所建立的商户黑名单内的，则乙方有权经核实后于10日内予以清退。</w:t>
      </w:r>
    </w:p>
    <w:p>
      <w:pPr>
        <w:pStyle w:val="12"/>
        <w:numPr>
          <w:ilvl w:val="0"/>
          <w:numId w:val="9"/>
        </w:numPr>
        <w:ind w:firstLineChars="0"/>
        <w:rPr>
          <w:rFonts w:ascii="楷体" w:hAnsi="楷体" w:eastAsia="楷体"/>
          <w:b/>
          <w:szCs w:val="21"/>
        </w:rPr>
      </w:pPr>
      <w:r>
        <w:rPr>
          <w:rFonts w:hint="eastAsia" w:ascii="楷体" w:hAnsi="楷体" w:eastAsia="楷体"/>
          <w:b/>
          <w:szCs w:val="21"/>
        </w:rPr>
        <w:t>因以下情况乙方没有成功完成甲方发出的支付指令，乙方不承担责任，但应当及时向甲方发出反馈：（1）乙方接收到的支付指令信息不明、存在乱码、不完整等情形；（2）持卡人的银行卡余额不足或信用额度不足；（3）持卡人银行卡状态不正常，致使无法完成支付；（4）其他不可抗力或其他不可归责于乙方的事由致使乙方不能正确执行甲方支付指令。</w:t>
      </w:r>
    </w:p>
    <w:p>
      <w:pPr>
        <w:pStyle w:val="12"/>
        <w:numPr>
          <w:ilvl w:val="0"/>
          <w:numId w:val="9"/>
        </w:numPr>
        <w:ind w:firstLineChars="0"/>
        <w:rPr>
          <w:rFonts w:ascii="楷体" w:hAnsi="楷体" w:eastAsia="楷体"/>
          <w:b/>
          <w:szCs w:val="21"/>
        </w:rPr>
      </w:pPr>
      <w:r>
        <w:rPr>
          <w:rFonts w:hint="eastAsia" w:ascii="楷体" w:hAnsi="楷体" w:eastAsia="楷体"/>
          <w:b/>
          <w:szCs w:val="21"/>
        </w:rPr>
        <w:t>乙方有权根据银行、清算机构</w:t>
      </w:r>
      <w:r>
        <w:rPr>
          <w:rFonts w:ascii="楷体" w:hAnsi="楷体" w:eastAsia="楷体"/>
          <w:b/>
          <w:szCs w:val="21"/>
        </w:rPr>
        <w:t>、</w:t>
      </w:r>
      <w:r>
        <w:rPr>
          <w:rFonts w:hint="eastAsia" w:ascii="楷体" w:hAnsi="楷体" w:eastAsia="楷体"/>
          <w:b/>
          <w:szCs w:val="21"/>
        </w:rPr>
        <w:t>监管机构要求或乙方风险控制要求暂停或中止提供部分功能，包括但不限于调整银行网关、单笔或单日累计限额等。</w:t>
      </w:r>
    </w:p>
    <w:p>
      <w:pPr>
        <w:pStyle w:val="12"/>
        <w:numPr>
          <w:ilvl w:val="0"/>
          <w:numId w:val="9"/>
        </w:numPr>
        <w:ind w:firstLineChars="0"/>
        <w:rPr>
          <w:rFonts w:ascii="楷体" w:hAnsi="楷体" w:eastAsia="楷体"/>
          <w:b/>
          <w:szCs w:val="21"/>
        </w:rPr>
      </w:pPr>
      <w:r>
        <w:rPr>
          <w:rFonts w:hint="eastAsia" w:ascii="楷体" w:hAnsi="楷体" w:eastAsia="楷体"/>
          <w:b/>
          <w:szCs w:val="21"/>
        </w:rPr>
        <w:t>乙方负责受理涉及其支付系统的投诉并解决相应问题。除此以外，乙方对于甲方与其客户</w:t>
      </w:r>
      <w:r>
        <w:rPr>
          <w:rFonts w:ascii="楷体" w:hAnsi="楷体" w:eastAsia="楷体"/>
          <w:b/>
          <w:szCs w:val="21"/>
        </w:rPr>
        <w:t>之间，</w:t>
      </w:r>
      <w:r>
        <w:rPr>
          <w:rFonts w:hint="eastAsia" w:ascii="楷体" w:hAnsi="楷体" w:eastAsia="楷体"/>
          <w:b/>
          <w:szCs w:val="21"/>
        </w:rPr>
        <w:t>可能发生的商业纠纷不承担责任。</w:t>
      </w:r>
    </w:p>
    <w:p>
      <w:pPr>
        <w:pStyle w:val="12"/>
        <w:numPr>
          <w:ilvl w:val="0"/>
          <w:numId w:val="5"/>
        </w:numPr>
        <w:ind w:firstLineChars="0"/>
        <w:rPr>
          <w:rFonts w:ascii="楷体" w:hAnsi="楷体" w:eastAsia="楷体"/>
          <w:b/>
          <w:szCs w:val="21"/>
        </w:rPr>
      </w:pPr>
      <w:r>
        <w:rPr>
          <w:rFonts w:hint="eastAsia" w:ascii="楷体" w:hAnsi="楷体" w:eastAsia="楷体"/>
          <w:b/>
          <w:szCs w:val="21"/>
        </w:rPr>
        <w:t>费用与结算</w:t>
      </w:r>
    </w:p>
    <w:p>
      <w:pPr>
        <w:pStyle w:val="12"/>
        <w:numPr>
          <w:ilvl w:val="0"/>
          <w:numId w:val="10"/>
        </w:numPr>
        <w:ind w:firstLineChars="0"/>
        <w:rPr>
          <w:rFonts w:ascii="楷体" w:hAnsi="楷体" w:eastAsia="楷体"/>
          <w:bCs/>
          <w:szCs w:val="21"/>
        </w:rPr>
      </w:pPr>
      <w:r>
        <w:rPr>
          <w:rFonts w:hint="eastAsia" w:ascii="楷体" w:hAnsi="楷体" w:eastAsia="楷体"/>
          <w:bCs/>
          <w:szCs w:val="21"/>
        </w:rPr>
        <w:t>因交易产生的所有通讯费用（包含但不限于电话通讯费，宽带月租费，SIM卡费，手机月租费，手机网络流量费用），由甲方自行承担。</w:t>
      </w:r>
    </w:p>
    <w:p>
      <w:pPr>
        <w:pStyle w:val="12"/>
        <w:numPr>
          <w:ilvl w:val="0"/>
          <w:numId w:val="10"/>
        </w:numPr>
        <w:ind w:firstLineChars="0"/>
        <w:rPr>
          <w:rFonts w:ascii="楷体" w:hAnsi="楷体" w:eastAsia="楷体"/>
          <w:b/>
          <w:bCs/>
          <w:szCs w:val="21"/>
        </w:rPr>
      </w:pPr>
      <w:r>
        <w:rPr>
          <w:rFonts w:ascii="楷体" w:hAnsi="楷体" w:eastAsia="楷体"/>
          <w:b/>
          <w:bCs/>
          <w:szCs w:val="21"/>
        </w:rPr>
        <w:t>未开通专属账户</w:t>
      </w:r>
      <w:r>
        <w:rPr>
          <w:rFonts w:hint="eastAsia" w:ascii="楷体" w:hAnsi="楷体" w:eastAsia="楷体"/>
          <w:b/>
          <w:bCs/>
          <w:szCs w:val="21"/>
        </w:rPr>
        <w:t>：</w:t>
      </w:r>
    </w:p>
    <w:p>
      <w:pPr>
        <w:pStyle w:val="12"/>
        <w:ind w:left="420" w:firstLine="0" w:firstLineChars="0"/>
        <w:rPr>
          <w:rFonts w:ascii="楷体" w:hAnsi="楷体" w:eastAsia="楷体"/>
          <w:bCs/>
          <w:szCs w:val="21"/>
        </w:rPr>
      </w:pPr>
      <w:r>
        <w:rPr>
          <w:rFonts w:hint="eastAsia" w:ascii="楷体" w:hAnsi="楷体" w:eastAsia="楷体"/>
          <w:bCs/>
          <w:szCs w:val="21"/>
        </w:rPr>
        <w:t>甲方实体</w:t>
      </w:r>
      <w:bookmarkStart w:id="4" w:name="OLE_LINK1"/>
      <w:bookmarkStart w:id="5" w:name="OLE_LINK2"/>
      <w:r>
        <w:rPr>
          <w:rFonts w:hint="eastAsia" w:ascii="楷体" w:hAnsi="楷体" w:eastAsia="楷体"/>
          <w:bCs/>
          <w:szCs w:val="21"/>
        </w:rPr>
        <w:t>特约商户或网络特约商户的客户</w:t>
      </w:r>
      <w:bookmarkEnd w:id="4"/>
      <w:bookmarkEnd w:id="5"/>
      <w:r>
        <w:rPr>
          <w:rFonts w:hint="eastAsia" w:ascii="楷体" w:hAnsi="楷体" w:eastAsia="楷体"/>
          <w:bCs/>
          <w:szCs w:val="21"/>
        </w:rPr>
        <w:t>，通过受理终端向甲方支付的交易资金，乙方扣除首页约定相应手续费后，按首页约定的结算周期，结算至甲方银行账户。（首页表格中未勾选开通专属账户，则默认为未开通专属账户结算）</w:t>
      </w:r>
    </w:p>
    <w:p>
      <w:pPr>
        <w:pStyle w:val="12"/>
        <w:ind w:left="420" w:firstLine="0" w:firstLineChars="0"/>
        <w:rPr>
          <w:rFonts w:ascii="楷体" w:hAnsi="楷体" w:eastAsia="楷体"/>
          <w:b/>
          <w:bCs/>
          <w:szCs w:val="21"/>
        </w:rPr>
      </w:pPr>
      <w:r>
        <w:rPr>
          <w:rFonts w:ascii="楷体" w:hAnsi="楷体" w:eastAsia="楷体"/>
          <w:b/>
          <w:bCs/>
          <w:szCs w:val="21"/>
        </w:rPr>
        <w:t>开通专属账户</w:t>
      </w:r>
      <w:r>
        <w:rPr>
          <w:rFonts w:hint="eastAsia" w:ascii="楷体" w:hAnsi="楷体" w:eastAsia="楷体"/>
          <w:b/>
          <w:bCs/>
          <w:szCs w:val="21"/>
        </w:rPr>
        <w:t>：</w:t>
      </w:r>
    </w:p>
    <w:p>
      <w:pPr>
        <w:ind w:firstLine="420" w:firstLineChars="200"/>
        <w:rPr>
          <w:rFonts w:ascii="楷体" w:hAnsi="楷体" w:eastAsia="楷体"/>
          <w:bCs/>
          <w:szCs w:val="21"/>
        </w:rPr>
      </w:pPr>
      <w:r>
        <w:rPr>
          <w:rFonts w:hint="eastAsia" w:ascii="楷体" w:hAnsi="楷体" w:eastAsia="楷体"/>
          <w:bCs/>
          <w:szCs w:val="21"/>
        </w:rPr>
        <w:t>甲方实体特约商户或网络特约商户的客户，通过受理终端向甲方支付的交易资金，乙方扣除首页约定相应手续费后，按首页约定的结算周期，结算至甲方专属账户，待乙方收到甲方发起的提现指令后，再将前述交易资金结算至甲方的银行账户。</w:t>
      </w:r>
      <w:r>
        <w:rPr>
          <w:rFonts w:ascii="楷体" w:hAnsi="楷体" w:eastAsia="楷体"/>
          <w:bCs/>
          <w:szCs w:val="21"/>
        </w:rPr>
        <w:t xml:space="preserve"> </w:t>
      </w:r>
    </w:p>
    <w:p>
      <w:pPr>
        <w:pStyle w:val="12"/>
        <w:numPr>
          <w:ilvl w:val="0"/>
          <w:numId w:val="10"/>
        </w:numPr>
        <w:ind w:firstLineChars="0"/>
        <w:rPr>
          <w:rFonts w:ascii="楷体" w:hAnsi="楷体" w:eastAsia="楷体"/>
          <w:b/>
          <w:szCs w:val="21"/>
        </w:rPr>
      </w:pPr>
      <w:r>
        <w:rPr>
          <w:rFonts w:hint="eastAsia" w:ascii="楷体" w:hAnsi="楷体" w:eastAsia="楷体"/>
          <w:b/>
          <w:szCs w:val="21"/>
        </w:rPr>
        <w:t>银行卡收单产品：甲方实体商户的客户，通过布放于甲方的乙方受理终端向甲方支付的交易资金，乙方扣除首页约定相应手续费后，结算至甲方</w:t>
      </w:r>
      <w:r>
        <w:rPr>
          <w:rFonts w:ascii="楷体" w:hAnsi="楷体" w:eastAsia="楷体"/>
          <w:b/>
          <w:szCs w:val="21"/>
        </w:rPr>
        <w:t>指定</w:t>
      </w:r>
      <w:r>
        <w:rPr>
          <w:rFonts w:hint="eastAsia" w:ascii="楷体" w:hAnsi="楷体" w:eastAsia="楷体"/>
          <w:b/>
          <w:szCs w:val="21"/>
        </w:rPr>
        <w:t>账户，乙方就该项交易资金的收单义务完整履行完毕。</w:t>
      </w:r>
    </w:p>
    <w:p>
      <w:pPr>
        <w:pStyle w:val="12"/>
        <w:numPr>
          <w:ilvl w:val="0"/>
          <w:numId w:val="10"/>
        </w:numPr>
        <w:ind w:firstLineChars="0"/>
        <w:rPr>
          <w:rFonts w:ascii="楷体_GB2312" w:hAnsi="Times New Roman" w:eastAsia="楷体_GB2312" w:cs="Times New Roman"/>
          <w:bCs/>
          <w:szCs w:val="21"/>
        </w:rPr>
      </w:pPr>
      <w:r>
        <w:rPr>
          <w:rFonts w:ascii="楷体" w:hAnsi="楷体" w:eastAsia="楷体"/>
          <w:bCs/>
          <w:szCs w:val="21"/>
        </w:rPr>
        <w:t>银行卡</w:t>
      </w:r>
      <w:r>
        <w:rPr>
          <w:rFonts w:hint="eastAsia" w:ascii="楷体" w:hAnsi="楷体" w:eastAsia="楷体"/>
          <w:bCs/>
          <w:szCs w:val="21"/>
        </w:rPr>
        <w:t>收单结算规则：</w:t>
      </w:r>
    </w:p>
    <w:p>
      <w:pPr>
        <w:pStyle w:val="12"/>
        <w:numPr>
          <w:ilvl w:val="0"/>
          <w:numId w:val="11"/>
        </w:numPr>
        <w:adjustRightInd w:val="0"/>
        <w:snapToGrid w:val="0"/>
        <w:ind w:firstLineChars="0"/>
        <w:rPr>
          <w:rFonts w:ascii="楷体_GB2312" w:hAnsi="Times New Roman" w:eastAsia="楷体_GB2312" w:cs="Times New Roman"/>
          <w:bCs/>
          <w:szCs w:val="21"/>
        </w:rPr>
      </w:pPr>
      <w:r>
        <w:rPr>
          <w:rFonts w:hint="eastAsia" w:ascii="楷体_GB2312" w:hAnsi="Times New Roman" w:eastAsia="楷体_GB2312" w:cs="Times New Roman"/>
          <w:bCs/>
          <w:szCs w:val="21"/>
        </w:rPr>
        <w:t>T+</w:t>
      </w:r>
      <w:r>
        <w:rPr>
          <w:rFonts w:ascii="楷体_GB2312" w:hAnsi="Times New Roman" w:eastAsia="楷体_GB2312" w:cs="Times New Roman"/>
          <w:bCs/>
          <w:szCs w:val="21"/>
        </w:rPr>
        <w:t>1</w:t>
      </w:r>
      <w:r>
        <w:rPr>
          <w:rFonts w:hint="eastAsia" w:ascii="楷体_GB2312" w:hAnsi="Times New Roman" w:eastAsia="楷体_GB2312" w:cs="Times New Roman"/>
          <w:bCs/>
          <w:szCs w:val="21"/>
        </w:rPr>
        <w:t>日结算：</w:t>
      </w:r>
      <w:r>
        <w:rPr>
          <w:rFonts w:ascii="楷体_GB2312" w:hAnsi="Times New Roman" w:eastAsia="楷体_GB2312" w:cs="Times New Roman"/>
          <w:szCs w:val="21"/>
        </w:rPr>
        <w:t>经</w:t>
      </w:r>
      <w:r>
        <w:rPr>
          <w:rFonts w:hint="eastAsia" w:ascii="楷体_GB2312" w:hAnsi="Times New Roman" w:eastAsia="楷体_GB2312" w:cs="Times New Roman"/>
          <w:szCs w:val="21"/>
        </w:rPr>
        <w:t>甲方于受理终端管理平台</w:t>
      </w:r>
      <w:r>
        <w:rPr>
          <w:rFonts w:ascii="楷体_GB2312" w:hAnsi="Times New Roman" w:eastAsia="楷体_GB2312" w:cs="Times New Roman"/>
          <w:szCs w:val="21"/>
        </w:rPr>
        <w:t>发起</w:t>
      </w:r>
      <w:r>
        <w:rPr>
          <w:rFonts w:hint="eastAsia" w:ascii="楷体_GB2312" w:hAnsi="Times New Roman" w:eastAsia="楷体_GB2312" w:cs="Times New Roman"/>
          <w:szCs w:val="21"/>
        </w:rPr>
        <w:t>授权</w:t>
      </w:r>
      <w:r>
        <w:rPr>
          <w:rFonts w:ascii="楷体_GB2312" w:hAnsi="Times New Roman" w:eastAsia="楷体_GB2312" w:cs="Times New Roman"/>
          <w:szCs w:val="21"/>
        </w:rPr>
        <w:t>，</w:t>
      </w:r>
      <w:r>
        <w:rPr>
          <w:rFonts w:hint="eastAsia" w:ascii="楷体_GB2312" w:hAnsi="Times New Roman" w:eastAsia="楷体_GB2312" w:cs="Times New Roman"/>
          <w:szCs w:val="21"/>
        </w:rPr>
        <w:t>乙方将T日成功</w:t>
      </w:r>
      <w:r>
        <w:rPr>
          <w:rFonts w:ascii="楷体_GB2312" w:hAnsi="Times New Roman" w:eastAsia="楷体_GB2312" w:cs="Times New Roman"/>
          <w:szCs w:val="21"/>
        </w:rPr>
        <w:t>交易</w:t>
      </w:r>
      <w:r>
        <w:rPr>
          <w:rFonts w:hint="eastAsia" w:ascii="楷体_GB2312" w:hAnsi="Times New Roman" w:eastAsia="楷体_GB2312" w:cs="Times New Roman"/>
          <w:szCs w:val="21"/>
        </w:rPr>
        <w:t>的</w:t>
      </w:r>
      <w:r>
        <w:rPr>
          <w:rFonts w:ascii="楷体_GB2312" w:hAnsi="Times New Roman" w:eastAsia="楷体_GB2312" w:cs="Times New Roman"/>
          <w:szCs w:val="21"/>
        </w:rPr>
        <w:t>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），于</w:t>
      </w:r>
      <w:r>
        <w:rPr>
          <w:rFonts w:ascii="楷体_GB2312" w:hAnsi="Times New Roman" w:eastAsia="楷体_GB2312" w:cs="Times New Roman"/>
          <w:szCs w:val="21"/>
        </w:rPr>
        <w:t>T</w:t>
      </w:r>
      <w:r>
        <w:rPr>
          <w:rFonts w:hint="eastAsia" w:ascii="楷体_GB2312" w:hAnsi="Times New Roman" w:eastAsia="楷体_GB2312" w:cs="Times New Roman"/>
          <w:szCs w:val="21"/>
        </w:rPr>
        <w:t>+</w:t>
      </w:r>
      <w:r>
        <w:rPr>
          <w:rFonts w:ascii="楷体_GB2312" w:hAnsi="Times New Roman" w:eastAsia="楷体_GB2312" w:cs="Times New Roman"/>
          <w:szCs w:val="21"/>
        </w:rPr>
        <w:t>1</w:t>
      </w:r>
      <w:r>
        <w:rPr>
          <w:rFonts w:hint="eastAsia" w:ascii="楷体_GB2312" w:hAnsi="Times New Roman" w:eastAsia="楷体_GB2312" w:cs="Times New Roman"/>
          <w:szCs w:val="21"/>
        </w:rPr>
        <w:t>日</w:t>
      </w:r>
      <w:r>
        <w:rPr>
          <w:rFonts w:ascii="楷体_GB2312" w:hAnsi="Times New Roman" w:eastAsia="楷体_GB2312" w:cs="Times New Roman"/>
          <w:szCs w:val="21"/>
        </w:rPr>
        <w:t>结算</w:t>
      </w:r>
      <w:r>
        <w:rPr>
          <w:rFonts w:hint="eastAsia" w:ascii="楷体_GB2312" w:hAnsi="Times New Roman" w:eastAsia="楷体_GB2312" w:cs="Times New Roman"/>
          <w:szCs w:val="21"/>
        </w:rPr>
        <w:t>至甲方</w:t>
      </w:r>
      <w:r>
        <w:rPr>
          <w:rFonts w:ascii="楷体_GB2312" w:hAnsi="Times New Roman" w:eastAsia="楷体_GB2312" w:cs="Times New Roman"/>
          <w:szCs w:val="21"/>
        </w:rPr>
        <w:t>指定账户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r>
        <w:rPr>
          <w:rFonts w:hint="eastAsia" w:ascii="楷体_GB2312" w:hAnsi="Times New Roman" w:eastAsia="楷体_GB2312" w:cs="Times New Roman"/>
          <w:b/>
          <w:szCs w:val="21"/>
        </w:rPr>
        <w:t>未开通增值业务快速结算功能则</w:t>
      </w:r>
      <w:r>
        <w:rPr>
          <w:rFonts w:ascii="楷体" w:hAnsi="楷体" w:eastAsia="楷体"/>
          <w:b/>
          <w:szCs w:val="21"/>
        </w:rPr>
        <w:t>银行卡</w:t>
      </w:r>
      <w:r>
        <w:rPr>
          <w:rFonts w:hint="eastAsia" w:ascii="楷体" w:hAnsi="楷体" w:eastAsia="楷体"/>
          <w:b/>
          <w:szCs w:val="21"/>
        </w:rPr>
        <w:t>收单结算规则</w:t>
      </w:r>
      <w:r>
        <w:rPr>
          <w:rFonts w:hint="eastAsia" w:ascii="楷体_GB2312" w:hAnsi="Times New Roman" w:eastAsia="楷体_GB2312" w:cs="Times New Roman"/>
          <w:b/>
          <w:szCs w:val="21"/>
        </w:rPr>
        <w:t>默认为T+</w:t>
      </w:r>
      <w:r>
        <w:rPr>
          <w:rFonts w:ascii="楷体_GB2312" w:hAnsi="Times New Roman" w:eastAsia="楷体_GB2312" w:cs="Times New Roman"/>
          <w:b/>
          <w:szCs w:val="21"/>
        </w:rPr>
        <w:t>1</w:t>
      </w:r>
      <w:r>
        <w:rPr>
          <w:rFonts w:hint="eastAsia" w:ascii="楷体_GB2312" w:hAnsi="Times New Roman" w:eastAsia="楷体_GB2312" w:cs="Times New Roman"/>
          <w:b/>
          <w:szCs w:val="21"/>
        </w:rPr>
        <w:t>日结算。</w:t>
      </w:r>
    </w:p>
    <w:p>
      <w:pPr>
        <w:pStyle w:val="12"/>
        <w:numPr>
          <w:ilvl w:val="0"/>
          <w:numId w:val="11"/>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D+0日结算：</w:t>
      </w:r>
      <w:r>
        <w:rPr>
          <w:rFonts w:ascii="楷体_GB2312" w:hAnsi="Times New Roman" w:eastAsia="楷体_GB2312" w:cs="Times New Roman"/>
          <w:szCs w:val="21"/>
        </w:rPr>
        <w:t>经</w:t>
      </w:r>
      <w:r>
        <w:rPr>
          <w:rFonts w:hint="eastAsia" w:ascii="楷体_GB2312" w:hAnsi="Times New Roman" w:eastAsia="楷体_GB2312" w:cs="Times New Roman"/>
          <w:szCs w:val="21"/>
        </w:rPr>
        <w:t>甲方于受理终端管理平台</w:t>
      </w:r>
      <w:r>
        <w:rPr>
          <w:rFonts w:ascii="楷体_GB2312" w:hAnsi="Times New Roman" w:eastAsia="楷体_GB2312" w:cs="Times New Roman"/>
          <w:szCs w:val="21"/>
        </w:rPr>
        <w:t>发起</w:t>
      </w:r>
      <w:r>
        <w:rPr>
          <w:rFonts w:hint="eastAsia" w:ascii="楷体_GB2312" w:hAnsi="Times New Roman" w:eastAsia="楷体_GB2312" w:cs="Times New Roman"/>
          <w:szCs w:val="21"/>
        </w:rPr>
        <w:t>授权</w:t>
      </w:r>
      <w:r>
        <w:rPr>
          <w:rFonts w:ascii="楷体_GB2312" w:hAnsi="Times New Roman" w:eastAsia="楷体_GB2312" w:cs="Times New Roman"/>
          <w:szCs w:val="21"/>
        </w:rPr>
        <w:t>，</w:t>
      </w:r>
      <w:r>
        <w:rPr>
          <w:rFonts w:hint="eastAsia" w:ascii="楷体_GB2312" w:hAnsi="Times New Roman" w:eastAsia="楷体_GB2312" w:cs="Times New Roman"/>
          <w:szCs w:val="21"/>
        </w:rPr>
        <w:t>乙方将D+0日成功</w:t>
      </w:r>
      <w:r>
        <w:rPr>
          <w:rFonts w:ascii="楷体_GB2312" w:hAnsi="Times New Roman" w:eastAsia="楷体_GB2312" w:cs="Times New Roman"/>
          <w:szCs w:val="21"/>
        </w:rPr>
        <w:t>交易</w:t>
      </w:r>
      <w:r>
        <w:rPr>
          <w:rFonts w:hint="eastAsia" w:ascii="楷体_GB2312" w:hAnsi="Times New Roman" w:eastAsia="楷体_GB2312" w:cs="Times New Roman"/>
          <w:szCs w:val="21"/>
        </w:rPr>
        <w:t>的</w:t>
      </w:r>
      <w:r>
        <w:rPr>
          <w:rFonts w:ascii="楷体_GB2312" w:hAnsi="Times New Roman" w:eastAsia="楷体_GB2312" w:cs="Times New Roman"/>
          <w:szCs w:val="21"/>
        </w:rPr>
        <w:t>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），于D+0日</w:t>
      </w:r>
      <w:r>
        <w:rPr>
          <w:rFonts w:ascii="楷体_GB2312" w:hAnsi="Times New Roman" w:eastAsia="楷体_GB2312" w:cs="Times New Roman"/>
          <w:szCs w:val="21"/>
        </w:rPr>
        <w:t>当日</w:t>
      </w:r>
      <w:r>
        <w:rPr>
          <w:rFonts w:hint="eastAsia" w:ascii="楷体_GB2312" w:hAnsi="Times New Roman" w:eastAsia="楷体_GB2312" w:cs="Times New Roman"/>
          <w:szCs w:val="21"/>
        </w:rPr>
        <w:t>扣除D+0增值</w:t>
      </w:r>
      <w:r>
        <w:rPr>
          <w:rFonts w:ascii="楷体_GB2312" w:hAnsi="Times New Roman" w:eastAsia="楷体_GB2312" w:cs="Times New Roman"/>
          <w:szCs w:val="21"/>
        </w:rPr>
        <w:t>服务手续费</w:t>
      </w:r>
      <w:r>
        <w:rPr>
          <w:rFonts w:hint="eastAsia" w:ascii="楷体_GB2312" w:hAnsi="Times New Roman" w:eastAsia="楷体_GB2312" w:cs="Times New Roman"/>
          <w:szCs w:val="21"/>
        </w:rPr>
        <w:t>后</w:t>
      </w:r>
      <w:r>
        <w:rPr>
          <w:rFonts w:ascii="楷体_GB2312" w:hAnsi="Times New Roman" w:eastAsia="楷体_GB2312" w:cs="Times New Roman"/>
          <w:szCs w:val="21"/>
        </w:rPr>
        <w:t>结算</w:t>
      </w:r>
      <w:r>
        <w:rPr>
          <w:rFonts w:hint="eastAsia" w:ascii="楷体_GB2312" w:hAnsi="Times New Roman" w:eastAsia="楷体_GB2312" w:cs="Times New Roman"/>
          <w:szCs w:val="21"/>
        </w:rPr>
        <w:t>至甲方指定</w:t>
      </w:r>
      <w:r>
        <w:rPr>
          <w:rFonts w:ascii="楷体_GB2312" w:hAnsi="Times New Roman" w:eastAsia="楷体_GB2312" w:cs="Times New Roman"/>
          <w:szCs w:val="21"/>
        </w:rPr>
        <w:t>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p>
    <w:p>
      <w:pPr>
        <w:pStyle w:val="12"/>
        <w:numPr>
          <w:ilvl w:val="0"/>
          <w:numId w:val="11"/>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D+1</w:t>
      </w:r>
      <w:r>
        <w:rPr>
          <w:rFonts w:hint="eastAsia" w:ascii="楷体_GB2312" w:hAnsi="Times New Roman" w:eastAsia="楷体_GB2312" w:cs="Times New Roman"/>
          <w:bCs/>
          <w:szCs w:val="21"/>
        </w:rPr>
        <w:t>日</w:t>
      </w:r>
      <w:r>
        <w:rPr>
          <w:rFonts w:hint="eastAsia" w:ascii="楷体_GB2312" w:hAnsi="Times New Roman" w:eastAsia="楷体_GB2312" w:cs="Times New Roman"/>
          <w:szCs w:val="21"/>
        </w:rPr>
        <w:t>结算：</w:t>
      </w:r>
      <w:bookmarkStart w:id="6" w:name="OLE_LINK6"/>
      <w:bookmarkStart w:id="7" w:name="OLE_LINK4"/>
      <w:bookmarkStart w:id="8" w:name="OLE_LINK5"/>
      <w:bookmarkStart w:id="9" w:name="OLE_LINK9"/>
      <w:bookmarkStart w:id="10" w:name="OLE_LINK7"/>
      <w:bookmarkStart w:id="11" w:name="OLE_LINK8"/>
      <w:r>
        <w:rPr>
          <w:rFonts w:ascii="楷体_GB2312" w:hAnsi="Times New Roman" w:eastAsia="楷体_GB2312" w:cs="Times New Roman"/>
          <w:szCs w:val="21"/>
        </w:rPr>
        <w:t>经</w:t>
      </w:r>
      <w:r>
        <w:rPr>
          <w:rFonts w:hint="eastAsia" w:ascii="楷体_GB2312" w:hAnsi="Times New Roman" w:eastAsia="楷体_GB2312" w:cs="Times New Roman"/>
          <w:szCs w:val="21"/>
        </w:rPr>
        <w:t>甲方于受理终端管理平台</w:t>
      </w:r>
      <w:r>
        <w:rPr>
          <w:rFonts w:ascii="楷体_GB2312" w:hAnsi="Times New Roman" w:eastAsia="楷体_GB2312" w:cs="Times New Roman"/>
          <w:szCs w:val="21"/>
        </w:rPr>
        <w:t>发起</w:t>
      </w:r>
      <w:r>
        <w:rPr>
          <w:rFonts w:hint="eastAsia" w:ascii="楷体_GB2312" w:hAnsi="Times New Roman" w:eastAsia="楷体_GB2312" w:cs="Times New Roman"/>
          <w:szCs w:val="21"/>
        </w:rPr>
        <w:t>授权</w:t>
      </w:r>
      <w:r>
        <w:rPr>
          <w:rFonts w:ascii="楷体_GB2312" w:hAnsi="Times New Roman" w:eastAsia="楷体_GB2312" w:cs="Times New Roman"/>
          <w:szCs w:val="21"/>
        </w:rPr>
        <w:t>，</w:t>
      </w:r>
      <w:r>
        <w:rPr>
          <w:rFonts w:hint="eastAsia" w:ascii="楷体_GB2312" w:hAnsi="Times New Roman" w:eastAsia="楷体_GB2312" w:cs="Times New Roman"/>
          <w:szCs w:val="21"/>
        </w:rPr>
        <w:t>乙方将D+0日</w:t>
      </w:r>
      <w:r>
        <w:rPr>
          <w:rFonts w:ascii="楷体_GB2312" w:hAnsi="Times New Roman" w:eastAsia="楷体_GB2312" w:cs="Times New Roman"/>
          <w:szCs w:val="21"/>
        </w:rPr>
        <w:t>成功交易的待结算资金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w:t>
      </w:r>
      <w:r>
        <w:rPr>
          <w:rFonts w:ascii="楷体_GB2312" w:hAnsi="Times New Roman" w:eastAsia="楷体_GB2312" w:cs="Times New Roman"/>
          <w:szCs w:val="21"/>
        </w:rPr>
        <w:t>于</w:t>
      </w:r>
      <w:r>
        <w:rPr>
          <w:rFonts w:hint="eastAsia" w:ascii="楷体_GB2312" w:hAnsi="Times New Roman" w:eastAsia="楷体_GB2312" w:cs="Times New Roman"/>
          <w:szCs w:val="21"/>
        </w:rPr>
        <w:t>D+0日次日扣除D+1增值</w:t>
      </w:r>
      <w:r>
        <w:rPr>
          <w:rFonts w:ascii="楷体_GB2312" w:hAnsi="Times New Roman" w:eastAsia="楷体_GB2312" w:cs="Times New Roman"/>
          <w:szCs w:val="21"/>
        </w:rPr>
        <w:t>服务手续费</w:t>
      </w:r>
      <w:r>
        <w:rPr>
          <w:rFonts w:hint="eastAsia" w:ascii="楷体_GB2312" w:hAnsi="Times New Roman" w:eastAsia="楷体_GB2312" w:cs="Times New Roman"/>
          <w:szCs w:val="21"/>
        </w:rPr>
        <w:t>后</w:t>
      </w:r>
      <w:r>
        <w:rPr>
          <w:rFonts w:ascii="楷体_GB2312" w:hAnsi="Times New Roman" w:eastAsia="楷体_GB2312" w:cs="Times New Roman"/>
          <w:szCs w:val="21"/>
        </w:rPr>
        <w:t>自动结算至甲方指定账户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bookmarkEnd w:id="6"/>
      <w:bookmarkEnd w:id="7"/>
      <w:bookmarkEnd w:id="8"/>
      <w:bookmarkEnd w:id="9"/>
      <w:bookmarkEnd w:id="10"/>
      <w:bookmarkEnd w:id="11"/>
    </w:p>
    <w:p>
      <w:pPr>
        <w:pStyle w:val="12"/>
        <w:numPr>
          <w:ilvl w:val="0"/>
          <w:numId w:val="11"/>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TS结算：</w:t>
      </w:r>
      <w:r>
        <w:rPr>
          <w:rFonts w:ascii="楷体_GB2312" w:hAnsi="Times New Roman" w:eastAsia="楷体_GB2312" w:cs="Times New Roman"/>
          <w:szCs w:val="21"/>
        </w:rPr>
        <w:t>经</w:t>
      </w:r>
      <w:r>
        <w:rPr>
          <w:rFonts w:hint="eastAsia" w:ascii="楷体_GB2312" w:hAnsi="Times New Roman" w:eastAsia="楷体_GB2312" w:cs="Times New Roman"/>
          <w:szCs w:val="21"/>
        </w:rPr>
        <w:t>甲方于受理终端管理平台</w:t>
      </w:r>
      <w:r>
        <w:rPr>
          <w:rFonts w:ascii="楷体_GB2312" w:hAnsi="Times New Roman" w:eastAsia="楷体_GB2312" w:cs="Times New Roman"/>
          <w:szCs w:val="21"/>
        </w:rPr>
        <w:t>发起</w:t>
      </w:r>
      <w:r>
        <w:rPr>
          <w:rFonts w:hint="eastAsia" w:ascii="楷体_GB2312" w:hAnsi="Times New Roman" w:eastAsia="楷体_GB2312" w:cs="Times New Roman"/>
          <w:szCs w:val="21"/>
        </w:rPr>
        <w:t>授权</w:t>
      </w:r>
      <w:r>
        <w:rPr>
          <w:rFonts w:ascii="楷体_GB2312" w:hAnsi="Times New Roman" w:eastAsia="楷体_GB2312" w:cs="Times New Roman"/>
          <w:szCs w:val="21"/>
        </w:rPr>
        <w:t>，</w:t>
      </w:r>
      <w:r>
        <w:rPr>
          <w:rFonts w:hint="eastAsia" w:ascii="楷体_GB2312" w:hAnsi="Times New Roman" w:eastAsia="楷体_GB2312" w:cs="Times New Roman"/>
          <w:szCs w:val="21"/>
        </w:rPr>
        <w:t>乙方将D+0日成功</w:t>
      </w:r>
      <w:r>
        <w:rPr>
          <w:rFonts w:ascii="楷体_GB2312" w:hAnsi="Times New Roman" w:eastAsia="楷体_GB2312" w:cs="Times New Roman"/>
          <w:szCs w:val="21"/>
        </w:rPr>
        <w:t>交易</w:t>
      </w:r>
      <w:r>
        <w:rPr>
          <w:rFonts w:hint="eastAsia" w:ascii="楷体_GB2312" w:hAnsi="Times New Roman" w:eastAsia="楷体_GB2312" w:cs="Times New Roman"/>
          <w:szCs w:val="21"/>
        </w:rPr>
        <w:t>的</w:t>
      </w:r>
      <w:r>
        <w:rPr>
          <w:rFonts w:ascii="楷体_GB2312" w:hAnsi="Times New Roman" w:eastAsia="楷体_GB2312" w:cs="Times New Roman"/>
          <w:szCs w:val="21"/>
        </w:rPr>
        <w:t>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），扣除增值服务手续费后即时结算至甲方</w:t>
      </w:r>
      <w:r>
        <w:rPr>
          <w:rFonts w:ascii="楷体_GB2312" w:hAnsi="Times New Roman" w:eastAsia="楷体_GB2312" w:cs="Times New Roman"/>
          <w:szCs w:val="21"/>
        </w:rPr>
        <w:t>指定</w:t>
      </w:r>
      <w:r>
        <w:rPr>
          <w:rFonts w:hint="eastAsia" w:ascii="楷体_GB2312" w:hAnsi="Times New Roman" w:eastAsia="楷体_GB2312" w:cs="Times New Roman"/>
          <w:szCs w:val="21"/>
        </w:rPr>
        <w:t>账户的服务。</w:t>
      </w:r>
    </w:p>
    <w:p>
      <w:pPr>
        <w:pStyle w:val="12"/>
        <w:numPr>
          <w:ilvl w:val="0"/>
          <w:numId w:val="11"/>
        </w:numPr>
        <w:adjustRightInd w:val="0"/>
        <w:snapToGrid w:val="0"/>
        <w:ind w:firstLineChars="0"/>
        <w:rPr>
          <w:rFonts w:ascii="楷体_GB2312" w:hAnsi="Times New Roman" w:eastAsia="楷体_GB2312" w:cs="Times New Roman"/>
          <w:szCs w:val="21"/>
        </w:rPr>
      </w:pPr>
      <w:bookmarkStart w:id="12" w:name="OLE_LINK13"/>
      <w:bookmarkStart w:id="13" w:name="OLE_LINK16"/>
      <w:bookmarkStart w:id="14" w:name="OLE_LINK17"/>
      <w:bookmarkStart w:id="15" w:name="OLE_LINK12"/>
      <w:bookmarkStart w:id="16" w:name="OLE_LINK14"/>
      <w:bookmarkStart w:id="17" w:name="OLE_LINK15"/>
      <w:bookmarkStart w:id="18" w:name="OLE_LINK11"/>
      <w:bookmarkStart w:id="19" w:name="OLE_LINK10"/>
      <w:r>
        <w:rPr>
          <w:rFonts w:ascii="楷体_GB2312" w:hAnsi="Times New Roman" w:eastAsia="楷体_GB2312" w:cs="Times New Roman"/>
          <w:szCs w:val="21"/>
        </w:rPr>
        <w:t>自定义时间结算</w:t>
      </w:r>
      <w:r>
        <w:rPr>
          <w:rFonts w:hint="eastAsia" w:ascii="楷体_GB2312" w:hAnsi="Times New Roman" w:eastAsia="楷体_GB2312" w:cs="Times New Roman"/>
          <w:szCs w:val="21"/>
        </w:rPr>
        <w:t>：</w:t>
      </w:r>
      <w:r>
        <w:rPr>
          <w:rFonts w:ascii="楷体_GB2312" w:hAnsi="Times New Roman" w:eastAsia="楷体_GB2312" w:cs="Times New Roman"/>
          <w:szCs w:val="21"/>
        </w:rPr>
        <w:t>经</w:t>
      </w:r>
      <w:r>
        <w:rPr>
          <w:rFonts w:hint="eastAsia" w:ascii="楷体_GB2312" w:hAnsi="Times New Roman" w:eastAsia="楷体_GB2312" w:cs="Times New Roman"/>
          <w:szCs w:val="21"/>
        </w:rPr>
        <w:t>甲方于受理终端管理平台</w:t>
      </w:r>
      <w:r>
        <w:rPr>
          <w:rFonts w:ascii="楷体_GB2312" w:hAnsi="Times New Roman" w:eastAsia="楷体_GB2312" w:cs="Times New Roman"/>
          <w:szCs w:val="21"/>
        </w:rPr>
        <w:t>发起</w:t>
      </w:r>
      <w:r>
        <w:rPr>
          <w:rFonts w:hint="eastAsia" w:ascii="楷体_GB2312" w:hAnsi="Times New Roman" w:eastAsia="楷体_GB2312" w:cs="Times New Roman"/>
          <w:szCs w:val="21"/>
        </w:rPr>
        <w:t>授权</w:t>
      </w:r>
      <w:r>
        <w:rPr>
          <w:rFonts w:ascii="楷体_GB2312" w:hAnsi="Times New Roman" w:eastAsia="楷体_GB2312" w:cs="Times New Roman"/>
          <w:szCs w:val="21"/>
        </w:rPr>
        <w:t>，</w:t>
      </w:r>
      <w:r>
        <w:rPr>
          <w:rFonts w:hint="eastAsia" w:ascii="楷体_GB2312" w:hAnsi="Times New Roman" w:eastAsia="楷体_GB2312" w:cs="Times New Roman"/>
          <w:szCs w:val="21"/>
        </w:rPr>
        <w:t>乙方将自定义时间</w:t>
      </w:r>
      <w:r>
        <w:rPr>
          <w:rFonts w:ascii="楷体_GB2312" w:hAnsi="Times New Roman" w:eastAsia="楷体_GB2312" w:cs="Times New Roman"/>
          <w:szCs w:val="21"/>
        </w:rPr>
        <w:t>成功交易的待结算资金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w:t>
      </w:r>
      <w:r>
        <w:rPr>
          <w:rFonts w:ascii="楷体_GB2312" w:hAnsi="Times New Roman" w:eastAsia="楷体_GB2312" w:cs="Times New Roman"/>
          <w:szCs w:val="21"/>
        </w:rPr>
        <w:t>于</w:t>
      </w:r>
      <w:r>
        <w:rPr>
          <w:rFonts w:hint="eastAsia" w:ascii="楷体_GB2312" w:hAnsi="Times New Roman" w:eastAsia="楷体_GB2312" w:cs="Times New Roman"/>
          <w:szCs w:val="21"/>
        </w:rPr>
        <w:t>次日（如同时选择D+</w:t>
      </w:r>
      <w:r>
        <w:rPr>
          <w:rFonts w:ascii="楷体_GB2312" w:hAnsi="Times New Roman" w:eastAsia="楷体_GB2312" w:cs="Times New Roman"/>
          <w:szCs w:val="21"/>
        </w:rPr>
        <w:t>0日结算</w:t>
      </w:r>
      <w:r>
        <w:rPr>
          <w:rFonts w:hint="eastAsia" w:ascii="楷体_GB2312" w:hAnsi="Times New Roman" w:eastAsia="楷体_GB2312" w:cs="Times New Roman"/>
          <w:szCs w:val="21"/>
        </w:rPr>
        <w:t>）扣除D+</w:t>
      </w:r>
      <w:r>
        <w:rPr>
          <w:rFonts w:ascii="楷体_GB2312" w:hAnsi="Times New Roman" w:eastAsia="楷体_GB2312" w:cs="Times New Roman"/>
          <w:szCs w:val="21"/>
        </w:rPr>
        <w:t>0增值服务手续费后结算至甲方指定账户的服务或者</w:t>
      </w:r>
      <w:r>
        <w:rPr>
          <w:rFonts w:hint="eastAsia" w:ascii="楷体_GB2312" w:hAnsi="Times New Roman" w:eastAsia="楷体_GB2312" w:cs="Times New Roman"/>
          <w:szCs w:val="21"/>
        </w:rPr>
        <w:t>于T+</w:t>
      </w:r>
      <w:r>
        <w:rPr>
          <w:rFonts w:ascii="楷体_GB2312" w:hAnsi="Times New Roman" w:eastAsia="楷体_GB2312" w:cs="Times New Roman"/>
          <w:szCs w:val="21"/>
        </w:rPr>
        <w:t>1日</w:t>
      </w:r>
      <w:r>
        <w:rPr>
          <w:rFonts w:hint="eastAsia" w:ascii="楷体_GB2312" w:hAnsi="Times New Roman" w:eastAsia="楷体_GB2312" w:cs="Times New Roman"/>
          <w:szCs w:val="21"/>
        </w:rPr>
        <w:t>（如同时选择T+</w:t>
      </w:r>
      <w:r>
        <w:rPr>
          <w:rFonts w:ascii="楷体_GB2312" w:hAnsi="Times New Roman" w:eastAsia="楷体_GB2312" w:cs="Times New Roman"/>
          <w:szCs w:val="21"/>
        </w:rPr>
        <w:t>1日结算</w:t>
      </w:r>
      <w:r>
        <w:rPr>
          <w:rFonts w:hint="eastAsia" w:ascii="楷体_GB2312" w:hAnsi="Times New Roman" w:eastAsia="楷体_GB2312" w:cs="Times New Roman"/>
          <w:szCs w:val="21"/>
        </w:rPr>
        <w:t>）</w:t>
      </w:r>
      <w:r>
        <w:rPr>
          <w:rFonts w:ascii="楷体_GB2312" w:hAnsi="Times New Roman" w:eastAsia="楷体_GB2312" w:cs="Times New Roman"/>
          <w:szCs w:val="21"/>
        </w:rPr>
        <w:t>结算至甲方指定账户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p>
    <w:bookmarkEnd w:id="12"/>
    <w:bookmarkEnd w:id="13"/>
    <w:bookmarkEnd w:id="14"/>
    <w:bookmarkEnd w:id="15"/>
    <w:bookmarkEnd w:id="16"/>
    <w:bookmarkEnd w:id="17"/>
    <w:bookmarkEnd w:id="18"/>
    <w:bookmarkEnd w:id="19"/>
    <w:p>
      <w:pPr>
        <w:pStyle w:val="12"/>
        <w:numPr>
          <w:ilvl w:val="0"/>
          <w:numId w:val="11"/>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入网不满90日或者入网后连续正常交易不满30日的商户，乙</w:t>
      </w:r>
      <w:permStart w:id="106" w:edGrp="everyone"/>
      <w:permEnd w:id="106"/>
      <w:r>
        <w:rPr>
          <w:rFonts w:hint="eastAsia" w:ascii="楷体_GB2312" w:hAnsi="Times New Roman" w:eastAsia="楷体_GB2312" w:cs="Times New Roman"/>
          <w:szCs w:val="21"/>
        </w:rPr>
        <w:t>方有权不向其提供上述</w:t>
      </w:r>
      <w:r>
        <w:rPr>
          <w:rFonts w:ascii="楷体_GB2312" w:hAnsi="Times New Roman" w:eastAsia="楷体_GB2312" w:cs="Times New Roman"/>
          <w:szCs w:val="21"/>
        </w:rPr>
        <w:t>服务</w:t>
      </w:r>
      <w:r>
        <w:rPr>
          <w:rFonts w:hint="eastAsia" w:ascii="楷体_GB2312" w:hAnsi="Times New Roman" w:eastAsia="楷体_GB2312" w:cs="Times New Roman"/>
          <w:szCs w:val="21"/>
        </w:rPr>
        <w:t>。</w:t>
      </w:r>
    </w:p>
    <w:p>
      <w:pPr>
        <w:pStyle w:val="12"/>
        <w:numPr>
          <w:ilvl w:val="0"/>
          <w:numId w:val="11"/>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乙方有权根据甲方资信状况或者银行、监管机构的风险控制要求等因素调整上述交易限额或暂停向甲方提供本协议</w:t>
      </w:r>
      <w:r>
        <w:rPr>
          <w:rFonts w:ascii="楷体_GB2312" w:hAnsi="Times New Roman" w:eastAsia="楷体_GB2312" w:cs="Times New Roman"/>
          <w:szCs w:val="21"/>
        </w:rPr>
        <w:t>约定的</w:t>
      </w:r>
      <w:r>
        <w:rPr>
          <w:rFonts w:hint="eastAsia" w:ascii="楷体_GB2312" w:hAnsi="Times New Roman" w:eastAsia="楷体_GB2312" w:cs="Times New Roman"/>
          <w:szCs w:val="21"/>
        </w:rPr>
        <w:t>增值服务。</w:t>
      </w:r>
    </w:p>
    <w:p>
      <w:pPr>
        <w:pStyle w:val="12"/>
        <w:numPr>
          <w:ilvl w:val="0"/>
          <w:numId w:val="10"/>
        </w:numPr>
        <w:ind w:firstLineChars="0"/>
        <w:rPr>
          <w:rFonts w:ascii="楷体" w:hAnsi="楷体" w:eastAsia="楷体"/>
          <w:b/>
          <w:szCs w:val="21"/>
        </w:rPr>
      </w:pPr>
      <w:r>
        <w:rPr>
          <w:rFonts w:hint="eastAsia" w:ascii="楷体" w:hAnsi="楷体" w:eastAsia="楷体"/>
          <w:b/>
          <w:szCs w:val="21"/>
        </w:rPr>
        <w:t>花呗分期产品：</w:t>
      </w:r>
    </w:p>
    <w:p>
      <w:pPr>
        <w:pStyle w:val="12"/>
        <w:numPr>
          <w:ilvl w:val="0"/>
          <w:numId w:val="12"/>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w:t>
      </w:r>
      <w:r>
        <w:rPr>
          <w:rFonts w:ascii="楷体_GB2312" w:hAnsi="Times New Roman" w:eastAsia="楷体_GB2312" w:cs="Times New Roman"/>
          <w:szCs w:val="21"/>
        </w:rPr>
        <w:t>花呗分期产品结算周期默认</w:t>
      </w:r>
      <w:r>
        <w:rPr>
          <w:rFonts w:hint="eastAsia" w:ascii="楷体_GB2312" w:hAnsi="Times New Roman" w:eastAsia="楷体_GB2312" w:cs="Times New Roman"/>
          <w:szCs w:val="21"/>
        </w:rPr>
        <w:t>与</w:t>
      </w:r>
      <w:r>
        <w:rPr>
          <w:rFonts w:ascii="楷体_GB2312" w:hAnsi="Times New Roman" w:eastAsia="楷体_GB2312" w:cs="Times New Roman"/>
          <w:szCs w:val="21"/>
        </w:rPr>
        <w:t>银行卡收单产品一致</w:t>
      </w:r>
      <w:r>
        <w:rPr>
          <w:rFonts w:hint="eastAsia" w:ascii="楷体_GB2312" w:hAnsi="Times New Roman" w:eastAsia="楷体_GB2312" w:cs="Times New Roman"/>
          <w:szCs w:val="21"/>
        </w:rPr>
        <w:t>，乙方在成功</w:t>
      </w:r>
      <w:r>
        <w:rPr>
          <w:rFonts w:ascii="楷体_GB2312" w:hAnsi="Times New Roman" w:eastAsia="楷体_GB2312" w:cs="Times New Roman"/>
          <w:szCs w:val="21"/>
        </w:rPr>
        <w:t>交易</w:t>
      </w:r>
      <w:r>
        <w:rPr>
          <w:rFonts w:hint="eastAsia" w:ascii="楷体_GB2312" w:hAnsi="Times New Roman" w:eastAsia="楷体_GB2312" w:cs="Times New Roman"/>
          <w:szCs w:val="21"/>
        </w:rPr>
        <w:t>的</w:t>
      </w:r>
      <w:r>
        <w:rPr>
          <w:rFonts w:ascii="楷体_GB2312" w:hAnsi="Times New Roman" w:eastAsia="楷体_GB2312" w:cs="Times New Roman"/>
          <w:szCs w:val="21"/>
        </w:rPr>
        <w:t>待结算资金中</w:t>
      </w:r>
      <w:r>
        <w:rPr>
          <w:rFonts w:hint="eastAsia" w:ascii="楷体_GB2312" w:hAnsi="Times New Roman" w:eastAsia="楷体_GB2312" w:cs="Times New Roman"/>
          <w:szCs w:val="21"/>
        </w:rPr>
        <w:t>扣除首页约定相应手续费后，结算至甲方指定账户。甲方知悉，甲方使用花呗分期业务时，如选择开通代偿模式的，则乙方于成功</w:t>
      </w:r>
      <w:r>
        <w:rPr>
          <w:rFonts w:ascii="楷体_GB2312" w:hAnsi="Times New Roman" w:eastAsia="楷体_GB2312" w:cs="Times New Roman"/>
          <w:szCs w:val="21"/>
        </w:rPr>
        <w:t>交易</w:t>
      </w:r>
      <w:r>
        <w:rPr>
          <w:rFonts w:hint="eastAsia" w:ascii="楷体_GB2312" w:hAnsi="Times New Roman" w:eastAsia="楷体_GB2312" w:cs="Times New Roman"/>
          <w:szCs w:val="21"/>
        </w:rPr>
        <w:t>的</w:t>
      </w:r>
      <w:r>
        <w:rPr>
          <w:rFonts w:ascii="楷体_GB2312" w:hAnsi="Times New Roman" w:eastAsia="楷体_GB2312" w:cs="Times New Roman"/>
          <w:szCs w:val="21"/>
        </w:rPr>
        <w:t>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）中扣除代偿模式服务费后结算至甲方指定账户。</w:t>
      </w:r>
    </w:p>
    <w:p>
      <w:pPr>
        <w:pStyle w:val="12"/>
        <w:numPr>
          <w:ilvl w:val="0"/>
          <w:numId w:val="12"/>
        </w:numPr>
        <w:spacing w:after="120"/>
        <w:ind w:firstLineChars="0"/>
        <w:rPr>
          <w:rFonts w:ascii="楷体_GB2312" w:eastAsia="楷体_GB2312"/>
          <w:sz w:val="20"/>
          <w:szCs w:val="18"/>
        </w:rPr>
      </w:pPr>
      <w:r>
        <w:rPr>
          <w:rFonts w:ascii="楷体_GB2312" w:eastAsia="楷体_GB2312"/>
          <w:sz w:val="20"/>
          <w:szCs w:val="18"/>
        </w:rPr>
        <w:t>若甲方开通花呗分期功能</w:t>
      </w:r>
      <w:r>
        <w:rPr>
          <w:rFonts w:hint="eastAsia" w:ascii="楷体_GB2312" w:eastAsia="楷体_GB2312"/>
          <w:sz w:val="20"/>
          <w:szCs w:val="18"/>
        </w:rPr>
        <w:t>，根据银行、蚂蚁小贷或支付宝有关管理规定，若出现缺货、无法运货、无法提供服务、客户撤销交易等情形并需做退款处理的情况应当通过原收款路径进行退款，但乙方不退回原交易手续费。前述需做退款处理的情况若交易发生未超过1</w:t>
      </w:r>
      <w:r>
        <w:rPr>
          <w:rFonts w:ascii="楷体_GB2312" w:eastAsia="楷体_GB2312"/>
          <w:sz w:val="20"/>
          <w:szCs w:val="18"/>
        </w:rPr>
        <w:t>5天</w:t>
      </w:r>
      <w:r>
        <w:rPr>
          <w:rFonts w:hint="eastAsia" w:ascii="楷体_GB2312" w:eastAsia="楷体_GB2312"/>
          <w:sz w:val="20"/>
          <w:szCs w:val="18"/>
        </w:rPr>
        <w:t>，</w:t>
      </w:r>
      <w:r>
        <w:rPr>
          <w:rFonts w:ascii="楷体_GB2312" w:eastAsia="楷体_GB2312"/>
          <w:sz w:val="20"/>
          <w:szCs w:val="18"/>
        </w:rPr>
        <w:t>则乙方须退回花呗分期手续费</w:t>
      </w:r>
      <w:r>
        <w:rPr>
          <w:rFonts w:hint="eastAsia" w:ascii="楷体_GB2312" w:eastAsia="楷体_GB2312"/>
          <w:sz w:val="20"/>
          <w:szCs w:val="18"/>
        </w:rPr>
        <w:t>，</w:t>
      </w:r>
      <w:r>
        <w:rPr>
          <w:rFonts w:ascii="楷体_GB2312" w:eastAsia="楷体_GB2312"/>
          <w:sz w:val="20"/>
          <w:szCs w:val="18"/>
        </w:rPr>
        <w:t>若交易</w:t>
      </w:r>
      <w:r>
        <w:rPr>
          <w:rFonts w:hint="eastAsia" w:ascii="楷体_GB2312" w:eastAsia="楷体_GB2312"/>
          <w:sz w:val="20"/>
          <w:szCs w:val="18"/>
        </w:rPr>
        <w:t>发生已超过1</w:t>
      </w:r>
      <w:r>
        <w:rPr>
          <w:rFonts w:ascii="楷体_GB2312" w:eastAsia="楷体_GB2312"/>
          <w:sz w:val="20"/>
          <w:szCs w:val="18"/>
        </w:rPr>
        <w:t>5天</w:t>
      </w:r>
      <w:r>
        <w:rPr>
          <w:rFonts w:hint="eastAsia" w:ascii="楷体_GB2312" w:eastAsia="楷体_GB2312"/>
          <w:sz w:val="20"/>
          <w:szCs w:val="18"/>
        </w:rPr>
        <w:t>，</w:t>
      </w:r>
      <w:r>
        <w:rPr>
          <w:rFonts w:ascii="楷体_GB2312" w:eastAsia="楷体_GB2312"/>
          <w:sz w:val="20"/>
          <w:szCs w:val="18"/>
        </w:rPr>
        <w:t>则</w:t>
      </w:r>
      <w:r>
        <w:rPr>
          <w:rFonts w:hint="eastAsia" w:ascii="楷体_GB2312" w:eastAsia="楷体_GB2312"/>
          <w:sz w:val="20"/>
          <w:szCs w:val="18"/>
        </w:rPr>
        <w:t>乙方不退回花呗分期手续费。根据蚂蚁小贷有关管理规定，</w:t>
      </w:r>
      <w:r>
        <w:rPr>
          <w:rFonts w:ascii="楷体_GB2312" w:eastAsia="楷体_GB2312"/>
          <w:sz w:val="20"/>
          <w:szCs w:val="18"/>
        </w:rPr>
        <w:t>若甲方所涉交易包括但不限于套现、虚假交易等特殊情况以及付款人</w:t>
      </w:r>
      <w:r>
        <w:rPr>
          <w:rFonts w:hint="eastAsia" w:ascii="楷体_GB2312" w:eastAsia="楷体_GB2312"/>
          <w:sz w:val="20"/>
          <w:szCs w:val="18"/>
        </w:rPr>
        <w:t>（</w:t>
      </w:r>
      <w:r>
        <w:rPr>
          <w:rFonts w:ascii="楷体_GB2312" w:eastAsia="楷体_GB2312"/>
          <w:sz w:val="20"/>
          <w:szCs w:val="18"/>
        </w:rPr>
        <w:t>持卡人</w:t>
      </w:r>
      <w:r>
        <w:rPr>
          <w:rFonts w:hint="eastAsia" w:ascii="楷体_GB2312" w:eastAsia="楷体_GB2312"/>
          <w:sz w:val="20"/>
          <w:szCs w:val="18"/>
        </w:rPr>
        <w:t>）</w:t>
      </w:r>
      <w:r>
        <w:rPr>
          <w:rFonts w:ascii="楷体_GB2312" w:eastAsia="楷体_GB2312"/>
          <w:sz w:val="20"/>
          <w:szCs w:val="18"/>
        </w:rPr>
        <w:t>提前还款等业务现象，上述开通花呗分期功能的手续费原则上一经收取将不予退还。甲乙双方知悉</w:t>
      </w:r>
      <w:r>
        <w:rPr>
          <w:rFonts w:hint="eastAsia" w:ascii="楷体_GB2312" w:eastAsia="楷体_GB2312"/>
          <w:sz w:val="20"/>
          <w:szCs w:val="18"/>
        </w:rPr>
        <w:t>，</w:t>
      </w:r>
      <w:r>
        <w:rPr>
          <w:rFonts w:ascii="楷体_GB2312" w:eastAsia="楷体_GB2312"/>
          <w:sz w:val="20"/>
          <w:szCs w:val="18"/>
        </w:rPr>
        <w:t>乙方有权根据银行</w:t>
      </w:r>
      <w:r>
        <w:rPr>
          <w:rFonts w:hint="eastAsia" w:ascii="楷体_GB2312" w:eastAsia="楷体_GB2312"/>
          <w:sz w:val="20"/>
          <w:szCs w:val="18"/>
        </w:rPr>
        <w:t>、</w:t>
      </w:r>
      <w:r>
        <w:rPr>
          <w:rFonts w:ascii="楷体_GB2312" w:eastAsia="楷体_GB2312"/>
          <w:sz w:val="20"/>
          <w:szCs w:val="18"/>
        </w:rPr>
        <w:t>蚂蚁小贷或支付宝的规则实时调整上述退款规则</w:t>
      </w:r>
      <w:r>
        <w:rPr>
          <w:rFonts w:hint="eastAsia" w:ascii="楷体_GB2312" w:eastAsia="楷体_GB2312"/>
          <w:sz w:val="20"/>
          <w:szCs w:val="18"/>
        </w:rPr>
        <w:t>。</w:t>
      </w:r>
    </w:p>
    <w:p>
      <w:pPr>
        <w:pStyle w:val="12"/>
        <w:numPr>
          <w:ilvl w:val="0"/>
          <w:numId w:val="10"/>
        </w:numPr>
        <w:ind w:firstLineChars="0"/>
        <w:rPr>
          <w:rFonts w:ascii="楷体" w:hAnsi="楷体" w:eastAsia="楷体"/>
          <w:b/>
          <w:szCs w:val="21"/>
        </w:rPr>
      </w:pPr>
      <w:r>
        <w:rPr>
          <w:rFonts w:hint="eastAsia" w:ascii="楷体" w:hAnsi="楷体" w:eastAsia="楷体"/>
          <w:b/>
          <w:szCs w:val="21"/>
        </w:rPr>
        <w:t>网络支付产品：甲方使用乙方网络支付接口发起支付指令，乙方按照甲方指令扣除首页约定相应手续费，按首页约定的结算周期，结算至甲方指定账户。</w:t>
      </w:r>
    </w:p>
    <w:p>
      <w:pPr>
        <w:pStyle w:val="12"/>
        <w:numPr>
          <w:ilvl w:val="0"/>
          <w:numId w:val="10"/>
        </w:numPr>
        <w:ind w:firstLineChars="0"/>
        <w:rPr>
          <w:rFonts w:ascii="楷体_GB2312" w:hAnsi="Times New Roman" w:eastAsia="楷体_GB2312" w:cs="Times New Roman"/>
          <w:szCs w:val="21"/>
        </w:rPr>
      </w:pPr>
      <w:r>
        <w:rPr>
          <w:rFonts w:hint="eastAsia" w:ascii="楷体_GB2312" w:hAnsi="Times New Roman" w:eastAsia="楷体_GB2312" w:cs="Times New Roman"/>
          <w:szCs w:val="21"/>
        </w:rPr>
        <w:t>网络支付取现规则：</w:t>
      </w:r>
    </w:p>
    <w:p>
      <w:pPr>
        <w:pStyle w:val="12"/>
        <w:numPr>
          <w:ilvl w:val="0"/>
          <w:numId w:val="13"/>
        </w:numPr>
        <w:adjustRightInd w:val="0"/>
        <w:snapToGrid w:val="0"/>
        <w:ind w:firstLineChars="0"/>
        <w:rPr>
          <w:rFonts w:ascii="楷体_GB2312" w:hAnsi="Times New Roman" w:eastAsia="楷体_GB2312" w:cs="Times New Roman"/>
          <w:szCs w:val="21"/>
        </w:rPr>
      </w:pPr>
      <w:r>
        <w:rPr>
          <w:rFonts w:ascii="楷体_GB2312" w:hAnsi="Times New Roman" w:eastAsia="楷体_GB2312" w:cs="Times New Roman"/>
          <w:szCs w:val="21"/>
        </w:rPr>
        <w:t>T</w:t>
      </w:r>
      <w:r>
        <w:rPr>
          <w:rFonts w:hint="eastAsia" w:ascii="楷体_GB2312" w:hAnsi="Times New Roman" w:eastAsia="楷体_GB2312" w:cs="Times New Roman"/>
          <w:szCs w:val="21"/>
        </w:rPr>
        <w:t>+1日取现：乙方将</w:t>
      </w:r>
      <w:r>
        <w:rPr>
          <w:rFonts w:ascii="楷体_GB2312" w:hAnsi="Times New Roman" w:eastAsia="楷体_GB2312" w:cs="Times New Roman"/>
          <w:szCs w:val="21"/>
        </w:rPr>
        <w:t>T</w:t>
      </w:r>
      <w:r>
        <w:rPr>
          <w:rFonts w:hint="eastAsia" w:ascii="楷体_GB2312" w:hAnsi="Times New Roman" w:eastAsia="楷体_GB2312" w:cs="Times New Roman"/>
          <w:szCs w:val="21"/>
        </w:rPr>
        <w:t>日成功</w:t>
      </w:r>
      <w:r>
        <w:rPr>
          <w:rFonts w:ascii="楷体_GB2312" w:hAnsi="Times New Roman" w:eastAsia="楷体_GB2312" w:cs="Times New Roman"/>
          <w:szCs w:val="21"/>
        </w:rPr>
        <w:t>交易</w:t>
      </w:r>
      <w:r>
        <w:rPr>
          <w:rFonts w:hint="eastAsia" w:ascii="楷体_GB2312" w:hAnsi="Times New Roman" w:eastAsia="楷体_GB2312" w:cs="Times New Roman"/>
          <w:szCs w:val="21"/>
        </w:rPr>
        <w:t>的</w:t>
      </w:r>
      <w:r>
        <w:rPr>
          <w:rFonts w:ascii="楷体_GB2312" w:hAnsi="Times New Roman" w:eastAsia="楷体_GB2312" w:cs="Times New Roman"/>
          <w:szCs w:val="21"/>
        </w:rPr>
        <w:t>待结算资金</w:t>
      </w:r>
      <w:r>
        <w:rPr>
          <w:rFonts w:hint="eastAsia" w:ascii="楷体_GB2312" w:hAnsi="Times New Roman" w:eastAsia="楷体_GB2312" w:cs="Times New Roman"/>
          <w:szCs w:val="21"/>
        </w:rPr>
        <w:t>（</w:t>
      </w:r>
      <w:bookmarkStart w:id="20" w:name="OLE_LINK18"/>
      <w:bookmarkStart w:id="21" w:name="OLE_LINK19"/>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w:t>
      </w:r>
      <w:bookmarkEnd w:id="20"/>
      <w:bookmarkEnd w:id="21"/>
      <w:r>
        <w:rPr>
          <w:rFonts w:hint="eastAsia" w:ascii="楷体_GB2312" w:hAnsi="Times New Roman" w:eastAsia="楷体_GB2312" w:cs="Times New Roman"/>
          <w:szCs w:val="21"/>
        </w:rPr>
        <w:t>，于</w:t>
      </w:r>
      <w:r>
        <w:rPr>
          <w:rFonts w:ascii="楷体_GB2312" w:hAnsi="Times New Roman" w:eastAsia="楷体_GB2312" w:cs="Times New Roman"/>
          <w:szCs w:val="21"/>
        </w:rPr>
        <w:t>T</w:t>
      </w:r>
      <w:r>
        <w:rPr>
          <w:rFonts w:hint="eastAsia" w:ascii="楷体_GB2312" w:hAnsi="Times New Roman" w:eastAsia="楷体_GB2312" w:cs="Times New Roman"/>
          <w:szCs w:val="21"/>
        </w:rPr>
        <w:t>+</w:t>
      </w:r>
      <w:r>
        <w:rPr>
          <w:rFonts w:ascii="楷体_GB2312" w:hAnsi="Times New Roman" w:eastAsia="楷体_GB2312" w:cs="Times New Roman"/>
          <w:szCs w:val="21"/>
        </w:rPr>
        <w:t>1</w:t>
      </w:r>
      <w:r>
        <w:rPr>
          <w:rFonts w:hint="eastAsia" w:ascii="楷体_GB2312" w:hAnsi="Times New Roman" w:eastAsia="楷体_GB2312" w:cs="Times New Roman"/>
          <w:szCs w:val="21"/>
        </w:rPr>
        <w:t>日扣除</w:t>
      </w:r>
      <w:r>
        <w:rPr>
          <w:rFonts w:ascii="楷体_GB2312" w:hAnsi="Times New Roman" w:eastAsia="楷体_GB2312" w:cs="Times New Roman"/>
          <w:szCs w:val="21"/>
        </w:rPr>
        <w:t>手续费</w:t>
      </w:r>
      <w:r>
        <w:rPr>
          <w:rFonts w:hint="eastAsia" w:ascii="楷体_GB2312" w:hAnsi="Times New Roman" w:eastAsia="楷体_GB2312" w:cs="Times New Roman"/>
          <w:szCs w:val="21"/>
        </w:rPr>
        <w:t>后</w:t>
      </w:r>
      <w:r>
        <w:rPr>
          <w:rFonts w:ascii="楷体_GB2312" w:hAnsi="Times New Roman" w:eastAsia="楷体_GB2312" w:cs="Times New Roman"/>
          <w:szCs w:val="21"/>
        </w:rPr>
        <w:t>结算</w:t>
      </w:r>
      <w:r>
        <w:rPr>
          <w:rFonts w:hint="eastAsia" w:ascii="楷体_GB2312" w:hAnsi="Times New Roman" w:eastAsia="楷体_GB2312" w:cs="Times New Roman"/>
          <w:szCs w:val="21"/>
        </w:rPr>
        <w:t>至甲方银行</w:t>
      </w:r>
      <w:r>
        <w:rPr>
          <w:rFonts w:ascii="楷体_GB2312" w:hAnsi="Times New Roman" w:eastAsia="楷体_GB2312" w:cs="Times New Roman"/>
          <w:szCs w:val="21"/>
        </w:rPr>
        <w:t>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r>
        <w:rPr>
          <w:rFonts w:hint="eastAsia" w:ascii="楷体_GB2312" w:hAnsi="Times New Roman" w:eastAsia="楷体_GB2312" w:cs="Times New Roman"/>
          <w:b/>
          <w:szCs w:val="21"/>
        </w:rPr>
        <w:t>网络支付取现或自动取现默认为T+</w:t>
      </w:r>
      <w:r>
        <w:rPr>
          <w:rFonts w:ascii="楷体_GB2312" w:hAnsi="Times New Roman" w:eastAsia="楷体_GB2312" w:cs="Times New Roman"/>
          <w:b/>
          <w:szCs w:val="21"/>
        </w:rPr>
        <w:t>1</w:t>
      </w:r>
      <w:r>
        <w:rPr>
          <w:rFonts w:hint="eastAsia" w:ascii="楷体_GB2312" w:hAnsi="Times New Roman" w:eastAsia="楷体_GB2312" w:cs="Times New Roman"/>
          <w:b/>
          <w:szCs w:val="21"/>
        </w:rPr>
        <w:t>日结算。</w:t>
      </w:r>
    </w:p>
    <w:p>
      <w:pPr>
        <w:pStyle w:val="12"/>
        <w:numPr>
          <w:ilvl w:val="0"/>
          <w:numId w:val="13"/>
        </w:numPr>
        <w:adjustRightInd w:val="0"/>
        <w:snapToGrid w:val="0"/>
        <w:ind w:firstLineChars="0"/>
        <w:rPr>
          <w:rFonts w:ascii="楷体_GB2312" w:hAnsi="Times New Roman" w:eastAsia="楷体_GB2312" w:cs="Times New Roman"/>
          <w:szCs w:val="21"/>
        </w:rPr>
      </w:pPr>
      <w:r>
        <w:rPr>
          <w:rFonts w:ascii="楷体_GB2312" w:hAnsi="Times New Roman" w:eastAsia="楷体_GB2312" w:cs="Times New Roman"/>
          <w:szCs w:val="21"/>
        </w:rPr>
        <w:t>T</w:t>
      </w:r>
      <w:r>
        <w:rPr>
          <w:rFonts w:hint="eastAsia" w:ascii="楷体_GB2312" w:hAnsi="Times New Roman" w:eastAsia="楷体_GB2312" w:cs="Times New Roman"/>
          <w:szCs w:val="21"/>
        </w:rPr>
        <w:t>日取现：乙方将</w:t>
      </w:r>
      <w:r>
        <w:rPr>
          <w:rFonts w:ascii="楷体_GB2312" w:hAnsi="Times New Roman" w:eastAsia="楷体_GB2312" w:cs="Times New Roman"/>
          <w:szCs w:val="21"/>
        </w:rPr>
        <w:t>T</w:t>
      </w:r>
      <w:r>
        <w:rPr>
          <w:rFonts w:hint="eastAsia" w:ascii="楷体_GB2312" w:hAnsi="Times New Roman" w:eastAsia="楷体_GB2312" w:cs="Times New Roman"/>
          <w:szCs w:val="21"/>
        </w:rPr>
        <w:t>日</w:t>
      </w:r>
      <w:r>
        <w:rPr>
          <w:rFonts w:ascii="楷体_GB2312" w:hAnsi="Times New Roman" w:eastAsia="楷体_GB2312" w:cs="Times New Roman"/>
          <w:szCs w:val="21"/>
        </w:rPr>
        <w:t>成功交易的待结算资金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w:t>
      </w:r>
      <w:r>
        <w:rPr>
          <w:rFonts w:ascii="楷体_GB2312" w:hAnsi="Times New Roman" w:eastAsia="楷体_GB2312" w:cs="Times New Roman"/>
          <w:szCs w:val="21"/>
        </w:rPr>
        <w:t>于T</w:t>
      </w:r>
      <w:r>
        <w:rPr>
          <w:rFonts w:hint="eastAsia" w:ascii="楷体_GB2312" w:hAnsi="Times New Roman" w:eastAsia="楷体_GB2312" w:cs="Times New Roman"/>
          <w:szCs w:val="21"/>
        </w:rPr>
        <w:t>日当日扣除</w:t>
      </w:r>
      <w:r>
        <w:rPr>
          <w:rFonts w:ascii="楷体_GB2312" w:hAnsi="Times New Roman" w:eastAsia="楷体_GB2312" w:cs="Times New Roman"/>
          <w:szCs w:val="21"/>
        </w:rPr>
        <w:t>手续费</w:t>
      </w:r>
      <w:r>
        <w:rPr>
          <w:rFonts w:hint="eastAsia" w:ascii="楷体_GB2312" w:hAnsi="Times New Roman" w:eastAsia="楷体_GB2312" w:cs="Times New Roman"/>
          <w:szCs w:val="21"/>
        </w:rPr>
        <w:t>后</w:t>
      </w:r>
      <w:r>
        <w:rPr>
          <w:rFonts w:ascii="楷体_GB2312" w:hAnsi="Times New Roman" w:eastAsia="楷体_GB2312" w:cs="Times New Roman"/>
          <w:szCs w:val="21"/>
        </w:rPr>
        <w:t>自动结算至甲方银行账户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p>
    <w:p>
      <w:pPr>
        <w:pStyle w:val="12"/>
        <w:numPr>
          <w:ilvl w:val="0"/>
          <w:numId w:val="13"/>
        </w:numPr>
        <w:adjustRightInd w:val="0"/>
        <w:snapToGrid w:val="0"/>
        <w:ind w:firstLineChars="0"/>
        <w:rPr>
          <w:rFonts w:ascii="楷体_GB2312" w:hAnsi="Times New Roman" w:eastAsia="楷体_GB2312" w:cs="Times New Roman"/>
          <w:szCs w:val="21"/>
        </w:rPr>
      </w:pPr>
      <w:r>
        <w:rPr>
          <w:rFonts w:ascii="楷体_GB2312" w:hAnsi="Times New Roman" w:eastAsia="楷体_GB2312" w:cs="Times New Roman"/>
          <w:szCs w:val="21"/>
        </w:rPr>
        <w:t>D+0日</w:t>
      </w:r>
      <w:r>
        <w:rPr>
          <w:rFonts w:hint="eastAsia" w:ascii="楷体_GB2312" w:hAnsi="Times New Roman" w:eastAsia="楷体_GB2312" w:cs="Times New Roman"/>
          <w:szCs w:val="21"/>
        </w:rPr>
        <w:t>取现：乙方于交易日D+0日当日（包括工作日和非工作日）将甲方当日交易成功的交易款项即时扣除手续费后结算至甲方银行账户的服务。</w:t>
      </w:r>
    </w:p>
    <w:p>
      <w:pPr>
        <w:pStyle w:val="12"/>
        <w:numPr>
          <w:ilvl w:val="0"/>
          <w:numId w:val="13"/>
        </w:numPr>
        <w:adjustRightInd w:val="0"/>
        <w:snapToGrid w:val="0"/>
        <w:ind w:firstLineChars="0"/>
        <w:rPr>
          <w:rFonts w:ascii="楷体_GB2312" w:hAnsi="Times New Roman" w:eastAsia="楷体_GB2312" w:cs="Times New Roman"/>
          <w:szCs w:val="21"/>
        </w:rPr>
      </w:pPr>
      <w:r>
        <w:rPr>
          <w:rFonts w:ascii="楷体_GB2312" w:hAnsi="Times New Roman" w:eastAsia="楷体_GB2312" w:cs="Times New Roman"/>
          <w:szCs w:val="21"/>
        </w:rPr>
        <w:t>自定义时间取现</w:t>
      </w:r>
      <w:r>
        <w:rPr>
          <w:rFonts w:hint="eastAsia" w:ascii="楷体_GB2312" w:hAnsi="Times New Roman" w:eastAsia="楷体_GB2312" w:cs="Times New Roman"/>
          <w:szCs w:val="21"/>
        </w:rPr>
        <w:t>：</w:t>
      </w:r>
      <w:r>
        <w:rPr>
          <w:rFonts w:ascii="楷体_GB2312" w:hAnsi="Times New Roman" w:eastAsia="楷体_GB2312" w:cs="Times New Roman"/>
          <w:szCs w:val="21"/>
        </w:rPr>
        <w:t>乙方</w:t>
      </w:r>
      <w:r>
        <w:rPr>
          <w:rFonts w:hint="eastAsia" w:ascii="楷体_GB2312" w:hAnsi="Times New Roman" w:eastAsia="楷体_GB2312" w:cs="Times New Roman"/>
          <w:szCs w:val="21"/>
        </w:rPr>
        <w:t>将自定义时间成功交易的待结算资金（</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w:t>
      </w:r>
      <w:r>
        <w:rPr>
          <w:rFonts w:ascii="楷体_GB2312" w:hAnsi="Times New Roman" w:eastAsia="楷体_GB2312" w:cs="Times New Roman"/>
          <w:szCs w:val="21"/>
        </w:rPr>
        <w:t>于</w:t>
      </w:r>
      <w:r>
        <w:rPr>
          <w:rFonts w:hint="eastAsia" w:ascii="楷体_GB2312" w:hAnsi="Times New Roman" w:eastAsia="楷体_GB2312" w:cs="Times New Roman"/>
          <w:szCs w:val="21"/>
        </w:rPr>
        <w:t>次日（如同时选择D+</w:t>
      </w:r>
      <w:r>
        <w:rPr>
          <w:rFonts w:ascii="楷体_GB2312" w:hAnsi="Times New Roman" w:eastAsia="楷体_GB2312" w:cs="Times New Roman"/>
          <w:szCs w:val="21"/>
        </w:rPr>
        <w:t>0日结算</w:t>
      </w:r>
      <w:r>
        <w:rPr>
          <w:rFonts w:hint="eastAsia" w:ascii="楷体_GB2312" w:hAnsi="Times New Roman" w:eastAsia="楷体_GB2312" w:cs="Times New Roman"/>
          <w:szCs w:val="21"/>
        </w:rPr>
        <w:t>）扣除</w:t>
      </w:r>
      <w:r>
        <w:rPr>
          <w:rFonts w:ascii="楷体_GB2312" w:hAnsi="Times New Roman" w:eastAsia="楷体_GB2312" w:cs="Times New Roman"/>
          <w:szCs w:val="21"/>
        </w:rPr>
        <w:t>手续费后结算至甲方银行账户的服务或者</w:t>
      </w:r>
      <w:r>
        <w:rPr>
          <w:rFonts w:hint="eastAsia" w:ascii="楷体_GB2312" w:hAnsi="Times New Roman" w:eastAsia="楷体_GB2312" w:cs="Times New Roman"/>
          <w:szCs w:val="21"/>
        </w:rPr>
        <w:t>于T+</w:t>
      </w:r>
      <w:r>
        <w:rPr>
          <w:rFonts w:ascii="楷体_GB2312" w:hAnsi="Times New Roman" w:eastAsia="楷体_GB2312" w:cs="Times New Roman"/>
          <w:szCs w:val="21"/>
        </w:rPr>
        <w:t>1日</w:t>
      </w:r>
      <w:r>
        <w:rPr>
          <w:rFonts w:hint="eastAsia" w:ascii="楷体_GB2312" w:hAnsi="Times New Roman" w:eastAsia="楷体_GB2312" w:cs="Times New Roman"/>
          <w:szCs w:val="21"/>
        </w:rPr>
        <w:t>（如同时选择T+</w:t>
      </w:r>
      <w:r>
        <w:rPr>
          <w:rFonts w:ascii="楷体_GB2312" w:hAnsi="Times New Roman" w:eastAsia="楷体_GB2312" w:cs="Times New Roman"/>
          <w:szCs w:val="21"/>
        </w:rPr>
        <w:t>1日结算</w:t>
      </w:r>
      <w:r>
        <w:rPr>
          <w:rFonts w:hint="eastAsia" w:ascii="楷体_GB2312" w:hAnsi="Times New Roman" w:eastAsia="楷体_GB2312" w:cs="Times New Roman"/>
          <w:szCs w:val="21"/>
        </w:rPr>
        <w:t>）扣除手续费后</w:t>
      </w:r>
      <w:r>
        <w:rPr>
          <w:rFonts w:ascii="楷体_GB2312" w:hAnsi="Times New Roman" w:eastAsia="楷体_GB2312" w:cs="Times New Roman"/>
          <w:szCs w:val="21"/>
        </w:rPr>
        <w:t>结算至甲方银行账户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p>
    <w:p>
      <w:pPr>
        <w:pStyle w:val="12"/>
        <w:numPr>
          <w:ilvl w:val="0"/>
          <w:numId w:val="13"/>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入网不满90日或者入网后连续正常交易不满30日的商户，乙方有权不向其提供上述</w:t>
      </w:r>
      <w:r>
        <w:rPr>
          <w:rFonts w:ascii="楷体_GB2312" w:hAnsi="Times New Roman" w:eastAsia="楷体_GB2312" w:cs="Times New Roman"/>
          <w:szCs w:val="21"/>
        </w:rPr>
        <w:t>服务</w:t>
      </w:r>
      <w:r>
        <w:rPr>
          <w:rFonts w:hint="eastAsia" w:ascii="楷体_GB2312" w:hAnsi="Times New Roman" w:eastAsia="楷体_GB2312" w:cs="Times New Roman"/>
          <w:szCs w:val="21"/>
        </w:rPr>
        <w:t>。</w:t>
      </w:r>
    </w:p>
    <w:p>
      <w:pPr>
        <w:pStyle w:val="12"/>
        <w:numPr>
          <w:ilvl w:val="0"/>
          <w:numId w:val="13"/>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乙方有权根据甲方资信状况或者银行、监管机构的风险控制要求等因素调整上述交易限额或暂停向甲方提供本协议</w:t>
      </w:r>
      <w:r>
        <w:rPr>
          <w:rFonts w:ascii="楷体_GB2312" w:hAnsi="Times New Roman" w:eastAsia="楷体_GB2312" w:cs="Times New Roman"/>
          <w:szCs w:val="21"/>
        </w:rPr>
        <w:t>约定的</w:t>
      </w:r>
      <w:r>
        <w:rPr>
          <w:rFonts w:hint="eastAsia" w:ascii="楷体_GB2312" w:hAnsi="Times New Roman" w:eastAsia="楷体_GB2312" w:cs="Times New Roman"/>
          <w:szCs w:val="21"/>
        </w:rPr>
        <w:t>增值服务。</w:t>
      </w:r>
    </w:p>
    <w:p>
      <w:pPr>
        <w:pStyle w:val="12"/>
        <w:numPr>
          <w:ilvl w:val="0"/>
          <w:numId w:val="10"/>
        </w:numPr>
        <w:ind w:firstLineChars="0"/>
        <w:rPr>
          <w:rFonts w:ascii="楷体_GB2312" w:hAnsi="Times New Roman" w:eastAsia="楷体_GB2312" w:cs="Times New Roman"/>
          <w:szCs w:val="21"/>
        </w:rPr>
      </w:pPr>
      <w:r>
        <w:rPr>
          <w:rFonts w:hint="eastAsia" w:ascii="楷体_GB2312" w:hAnsi="Times New Roman" w:eastAsia="楷体_GB2312" w:cs="Times New Roman"/>
          <w:szCs w:val="21"/>
        </w:rPr>
        <w:t>分账结算周期：</w:t>
      </w:r>
      <w:r>
        <w:rPr>
          <w:rFonts w:hint="eastAsia" w:ascii="楷体" w:hAnsi="楷体" w:eastAsia="楷体"/>
          <w:szCs w:val="21"/>
        </w:rPr>
        <w:t>乙方根据甲方或甲方授权的分账发起方向乙方传输的指令，直接将待结算资金部分划付至甲方的账户，部分划付至分账接受方（如：供应商、平台、个人等）的账户。划付结算周期以首页产品信息登记表记录为准。</w:t>
      </w:r>
    </w:p>
    <w:p>
      <w:pPr>
        <w:pStyle w:val="12"/>
        <w:numPr>
          <w:ilvl w:val="0"/>
          <w:numId w:val="10"/>
        </w:numPr>
        <w:ind w:firstLineChars="0"/>
        <w:rPr>
          <w:rFonts w:ascii="楷体" w:hAnsi="楷体" w:eastAsia="楷体"/>
          <w:b/>
          <w:szCs w:val="21"/>
        </w:rPr>
      </w:pPr>
      <w:r>
        <w:rPr>
          <w:rFonts w:ascii="楷体" w:hAnsi="楷体" w:eastAsia="楷体"/>
          <w:b/>
          <w:szCs w:val="21"/>
        </w:rPr>
        <w:t>本协议下支付产品相关费用以协议</w:t>
      </w:r>
      <w:r>
        <w:rPr>
          <w:rFonts w:hint="eastAsia" w:ascii="楷体" w:hAnsi="楷体" w:eastAsia="楷体"/>
          <w:b/>
          <w:szCs w:val="21"/>
        </w:rPr>
        <w:t>首页</w:t>
      </w:r>
      <w:r>
        <w:rPr>
          <w:rFonts w:ascii="楷体" w:hAnsi="楷体" w:eastAsia="楷体"/>
          <w:b/>
          <w:szCs w:val="21"/>
        </w:rPr>
        <w:t>产品信息登记表</w:t>
      </w:r>
      <w:r>
        <w:rPr>
          <w:rFonts w:hint="eastAsia" w:ascii="楷体" w:hAnsi="楷体" w:eastAsia="楷体"/>
          <w:b/>
          <w:szCs w:val="21"/>
        </w:rPr>
        <w:t>约定为准。</w:t>
      </w:r>
    </w:p>
    <w:p>
      <w:pPr>
        <w:pStyle w:val="12"/>
        <w:numPr>
          <w:ilvl w:val="0"/>
          <w:numId w:val="10"/>
        </w:numPr>
        <w:ind w:firstLineChars="0"/>
        <w:rPr>
          <w:rFonts w:ascii="楷体" w:hAnsi="楷体" w:eastAsia="楷体"/>
          <w:b/>
          <w:szCs w:val="21"/>
        </w:rPr>
      </w:pPr>
      <w:r>
        <w:rPr>
          <w:rFonts w:hint="eastAsia" w:ascii="楷体" w:hAnsi="楷体" w:eastAsia="楷体"/>
          <w:b/>
          <w:szCs w:val="21"/>
        </w:rPr>
        <w:t>所有通过和使用乙方综合支付</w:t>
      </w:r>
      <w:r>
        <w:rPr>
          <w:rFonts w:ascii="楷体" w:hAnsi="楷体" w:eastAsia="楷体"/>
          <w:b/>
          <w:szCs w:val="21"/>
        </w:rPr>
        <w:t>服务</w:t>
      </w:r>
      <w:r>
        <w:rPr>
          <w:rFonts w:hint="eastAsia" w:ascii="楷体" w:hAnsi="楷体" w:eastAsia="楷体"/>
          <w:b/>
          <w:szCs w:val="21"/>
        </w:rPr>
        <w:t xml:space="preserve">进行流转、存放、提现的资金，在任何情况下均不产生任何形式的利息。 </w:t>
      </w:r>
    </w:p>
    <w:p>
      <w:pPr>
        <w:rPr>
          <w:rFonts w:ascii="楷体" w:hAnsi="楷体" w:eastAsia="楷体"/>
          <w:b/>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调单规则</w:t>
      </w:r>
    </w:p>
    <w:p>
      <w:pPr>
        <w:pStyle w:val="12"/>
        <w:numPr>
          <w:ilvl w:val="0"/>
          <w:numId w:val="14"/>
        </w:numPr>
        <w:ind w:firstLineChars="0"/>
        <w:rPr>
          <w:rFonts w:ascii="楷体" w:hAnsi="楷体" w:eastAsia="楷体"/>
          <w:b/>
          <w:szCs w:val="21"/>
        </w:rPr>
      </w:pPr>
      <w:r>
        <w:rPr>
          <w:rFonts w:hint="eastAsia" w:ascii="楷体" w:hAnsi="楷体" w:eastAsia="楷体"/>
          <w:b/>
          <w:szCs w:val="21"/>
        </w:rPr>
        <w:t>甲方在收到乙方的调单通知后，应当立即暂停向客户提供商品或者服务，并在收到调单通知之日起两日内，根据调单通知的要求提供相关的交易信息资料并</w:t>
      </w:r>
      <w:r>
        <w:rPr>
          <w:rFonts w:ascii="楷体" w:hAnsi="楷体" w:eastAsia="楷体"/>
          <w:b/>
          <w:szCs w:val="21"/>
        </w:rPr>
        <w:t>按甲方要求提供证明资料</w:t>
      </w:r>
      <w:r>
        <w:rPr>
          <w:rFonts w:hint="eastAsia" w:ascii="楷体" w:hAnsi="楷体" w:eastAsia="楷体"/>
          <w:b/>
          <w:szCs w:val="21"/>
        </w:rPr>
        <w:t>等。</w:t>
      </w:r>
    </w:p>
    <w:p>
      <w:pPr>
        <w:pStyle w:val="12"/>
        <w:numPr>
          <w:ilvl w:val="0"/>
          <w:numId w:val="14"/>
        </w:numPr>
        <w:ind w:firstLineChars="0"/>
        <w:rPr>
          <w:rFonts w:ascii="楷体" w:hAnsi="楷体" w:eastAsia="楷体"/>
          <w:b/>
          <w:szCs w:val="21"/>
        </w:rPr>
      </w:pPr>
      <w:r>
        <w:rPr>
          <w:rFonts w:hint="eastAsia" w:ascii="楷体" w:hAnsi="楷体" w:eastAsia="楷体"/>
          <w:b/>
          <w:szCs w:val="21"/>
        </w:rPr>
        <w:t>甲方未能在规定期限内提供资料、未能按照调单通知的要求提供相关资料、提供的资料与要求不符或甲方不予配合提供相关资料的，应独立承担由此造成的全部损失（包括但不限于退单损失等），且乙方有权从甲方次日或此后的交易款中扣除相应款项或要求甲方交纳调单金额相应</w:t>
      </w:r>
      <w:r>
        <w:rPr>
          <w:rFonts w:ascii="楷体" w:hAnsi="楷体" w:eastAsia="楷体"/>
          <w:b/>
          <w:szCs w:val="21"/>
        </w:rPr>
        <w:t>款项</w:t>
      </w:r>
      <w:r>
        <w:rPr>
          <w:rFonts w:hint="eastAsia" w:ascii="楷体" w:hAnsi="楷体" w:eastAsia="楷体"/>
          <w:b/>
          <w:szCs w:val="21"/>
        </w:rPr>
        <w:t>等相应处理。</w:t>
      </w:r>
    </w:p>
    <w:p>
      <w:pPr>
        <w:pStyle w:val="12"/>
        <w:numPr>
          <w:ilvl w:val="0"/>
          <w:numId w:val="14"/>
        </w:numPr>
        <w:ind w:firstLineChars="0"/>
        <w:rPr>
          <w:rFonts w:ascii="楷体" w:hAnsi="楷体" w:eastAsia="楷体"/>
          <w:b/>
          <w:szCs w:val="21"/>
        </w:rPr>
      </w:pPr>
      <w:r>
        <w:rPr>
          <w:rFonts w:hint="eastAsia" w:ascii="楷体" w:hAnsi="楷体" w:eastAsia="楷体"/>
          <w:b/>
          <w:szCs w:val="21"/>
        </w:rPr>
        <w:t>为配合乙方调</w:t>
      </w:r>
      <w:r>
        <w:rPr>
          <w:rFonts w:ascii="楷体" w:hAnsi="楷体" w:eastAsia="楷体"/>
          <w:b/>
          <w:szCs w:val="21"/>
        </w:rPr>
        <w:t>单需求</w:t>
      </w:r>
      <w:r>
        <w:rPr>
          <w:rFonts w:hint="eastAsia" w:ascii="楷体" w:hAnsi="楷体" w:eastAsia="楷体"/>
          <w:b/>
          <w:szCs w:val="21"/>
        </w:rPr>
        <w:t>，甲方指定首页</w:t>
      </w:r>
      <w:r>
        <w:rPr>
          <w:rFonts w:ascii="楷体" w:hAnsi="楷体" w:eastAsia="楷体"/>
          <w:b/>
          <w:szCs w:val="21"/>
        </w:rPr>
        <w:t>的相应</w:t>
      </w:r>
      <w:r>
        <w:rPr>
          <w:rFonts w:hint="eastAsia" w:ascii="楷体" w:hAnsi="楷体" w:eastAsia="楷体"/>
          <w:b/>
          <w:szCs w:val="21"/>
        </w:rPr>
        <w:t>联系人为调单联系人及其联系方式，当调单联系人及联系方式发生变化时，应在两个工作日内书面告知乙方。否则，如发生紧急风险状况而乙方无法与调单联系人取得联系的，由此造成的损失由甲方承担全部责任。在甲方相关信息发生变化时，甲方应及时通知乙方以便甲方处于可联系状态，否则，乙方可以暂停结算等相应服务。待甲方与</w:t>
      </w:r>
      <w:r>
        <w:rPr>
          <w:rFonts w:ascii="楷体" w:hAnsi="楷体" w:eastAsia="楷体"/>
          <w:b/>
          <w:szCs w:val="21"/>
        </w:rPr>
        <w:t>乙方</w:t>
      </w:r>
      <w:r>
        <w:rPr>
          <w:rFonts w:hint="eastAsia" w:ascii="楷体" w:hAnsi="楷体" w:eastAsia="楷体"/>
          <w:b/>
          <w:szCs w:val="21"/>
        </w:rPr>
        <w:t>恢复联系并查明相关情况后乙方应及时提供恢复结算等相应服务。</w:t>
      </w:r>
    </w:p>
    <w:p>
      <w:pPr>
        <w:pStyle w:val="12"/>
        <w:numPr>
          <w:ilvl w:val="0"/>
          <w:numId w:val="14"/>
        </w:numPr>
        <w:ind w:firstLineChars="0"/>
        <w:rPr>
          <w:rFonts w:ascii="楷体" w:hAnsi="楷体" w:eastAsia="楷体"/>
          <w:b/>
          <w:szCs w:val="21"/>
        </w:rPr>
      </w:pPr>
      <w:r>
        <w:rPr>
          <w:rFonts w:hint="eastAsia" w:ascii="楷体" w:hAnsi="楷体" w:eastAsia="楷体"/>
          <w:b/>
          <w:szCs w:val="21"/>
        </w:rPr>
        <w:t>调单</w:t>
      </w:r>
      <w:r>
        <w:rPr>
          <w:rFonts w:ascii="楷体" w:hAnsi="楷体" w:eastAsia="楷体"/>
          <w:b/>
          <w:szCs w:val="21"/>
        </w:rPr>
        <w:t>联系人信息：</w:t>
      </w:r>
    </w:p>
    <w:p>
      <w:pPr>
        <w:pStyle w:val="12"/>
        <w:ind w:left="420" w:firstLine="0" w:firstLineChars="0"/>
        <w:rPr>
          <w:rFonts w:ascii="楷体" w:hAnsi="楷体" w:eastAsia="楷体"/>
          <w:b/>
          <w:szCs w:val="21"/>
        </w:rPr>
      </w:pPr>
      <w:r>
        <w:rPr>
          <w:rFonts w:hint="eastAsia" w:ascii="楷体" w:hAnsi="楷体" w:eastAsia="楷体"/>
          <w:b/>
          <w:szCs w:val="21"/>
        </w:rPr>
        <w:t>调单联系人方式同首页联系人。当调单联系人及联系方式发生变化时，应在两个工作日内书面告知乙方。否则，如发生紧急风险状况而乙方无法与调单联系人取得联系的，由此造成的损失由甲方承担全部责任。在甲方相关信息发生变化时，甲方应及时通知乙方以便甲方处于可联系状态，否则，乙方可以暂停结算等相应服务。待甲方与</w:t>
      </w:r>
      <w:r>
        <w:rPr>
          <w:rFonts w:ascii="楷体" w:hAnsi="楷体" w:eastAsia="楷体"/>
          <w:b/>
          <w:szCs w:val="21"/>
        </w:rPr>
        <w:t>乙方</w:t>
      </w:r>
      <w:r>
        <w:rPr>
          <w:rFonts w:hint="eastAsia" w:ascii="楷体" w:hAnsi="楷体" w:eastAsia="楷体"/>
          <w:b/>
          <w:szCs w:val="21"/>
        </w:rPr>
        <w:t>恢复联系并查明相关情况后乙方应及时提供恢复结算等相应服务。</w:t>
      </w:r>
    </w:p>
    <w:p>
      <w:pPr>
        <w:rPr>
          <w:rFonts w:ascii="楷体" w:hAnsi="楷体" w:eastAsia="楷体"/>
          <w:b/>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个人金融信息</w:t>
      </w:r>
      <w:r>
        <w:rPr>
          <w:rFonts w:ascii="楷体" w:hAnsi="楷体" w:eastAsia="楷体"/>
          <w:b/>
          <w:szCs w:val="21"/>
        </w:rPr>
        <w:t>保护</w:t>
      </w:r>
      <w:r>
        <w:rPr>
          <w:rFonts w:hint="eastAsia" w:ascii="楷体" w:hAnsi="楷体" w:eastAsia="楷体"/>
          <w:b/>
          <w:szCs w:val="21"/>
        </w:rPr>
        <w:t>及保密</w:t>
      </w:r>
      <w:r>
        <w:rPr>
          <w:rFonts w:ascii="楷体" w:hAnsi="楷体" w:eastAsia="楷体"/>
          <w:b/>
          <w:szCs w:val="21"/>
        </w:rPr>
        <w:t>条款</w:t>
      </w:r>
    </w:p>
    <w:p>
      <w:pPr>
        <w:pStyle w:val="12"/>
        <w:numPr>
          <w:ilvl w:val="0"/>
          <w:numId w:val="15"/>
        </w:numPr>
        <w:ind w:firstLineChars="0"/>
        <w:rPr>
          <w:rFonts w:ascii="楷体" w:hAnsi="楷体" w:eastAsia="楷体"/>
          <w:szCs w:val="21"/>
        </w:rPr>
      </w:pPr>
      <w:r>
        <w:rPr>
          <w:rFonts w:hint="eastAsia" w:ascii="楷体" w:hAnsi="楷体" w:eastAsia="楷体"/>
          <w:szCs w:val="21"/>
        </w:rPr>
        <w:t>本协议项下保密信息是指甲乙双方在履行本协议期间所获知的属于另一方的商业、营销、技术或其他资料（包括但不限于各项技术、交易信息、客户信息、个人</w:t>
      </w:r>
      <w:r>
        <w:rPr>
          <w:rFonts w:ascii="楷体" w:hAnsi="楷体" w:eastAsia="楷体"/>
          <w:szCs w:val="21"/>
        </w:rPr>
        <w:t>金融</w:t>
      </w:r>
      <w:r>
        <w:rPr>
          <w:rFonts w:hint="eastAsia" w:ascii="楷体" w:hAnsi="楷体" w:eastAsia="楷体"/>
          <w:szCs w:val="21"/>
        </w:rPr>
        <w:t>信息</w:t>
      </w:r>
      <w:r>
        <w:rPr>
          <w:rFonts w:ascii="楷体" w:hAnsi="楷体" w:eastAsia="楷体"/>
          <w:szCs w:val="21"/>
        </w:rPr>
        <w:t>、</w:t>
      </w:r>
      <w:r>
        <w:rPr>
          <w:rFonts w:hint="eastAsia" w:ascii="楷体" w:hAnsi="楷体" w:eastAsia="楷体"/>
          <w:szCs w:val="21"/>
        </w:rPr>
        <w:t>商业秘密、数据统计资料等）。</w:t>
      </w:r>
    </w:p>
    <w:p>
      <w:pPr>
        <w:pStyle w:val="12"/>
        <w:numPr>
          <w:ilvl w:val="0"/>
          <w:numId w:val="15"/>
        </w:numPr>
        <w:ind w:firstLineChars="0"/>
        <w:rPr>
          <w:rFonts w:ascii="楷体" w:hAnsi="楷体" w:eastAsia="楷体"/>
          <w:szCs w:val="21"/>
        </w:rPr>
      </w:pPr>
      <w:r>
        <w:rPr>
          <w:rFonts w:hint="eastAsia" w:ascii="楷体" w:hAnsi="楷体" w:eastAsia="楷体"/>
          <w:szCs w:val="21"/>
        </w:rPr>
        <w:t>保密信息不包括：（1)在一方传递给对方时已被公众掌握的信息或材料；（2）在一方传递给对方时已被对方通过合法途径依法掌握的信 息或材料，且当时对方并不负有任何保密义务。</w:t>
      </w:r>
    </w:p>
    <w:p>
      <w:pPr>
        <w:pStyle w:val="12"/>
        <w:numPr>
          <w:ilvl w:val="0"/>
          <w:numId w:val="15"/>
        </w:numPr>
        <w:ind w:firstLineChars="0"/>
        <w:rPr>
          <w:rFonts w:ascii="楷体" w:hAnsi="楷体" w:eastAsia="楷体"/>
          <w:szCs w:val="21"/>
        </w:rPr>
      </w:pPr>
      <w:r>
        <w:rPr>
          <w:rFonts w:hint="eastAsia" w:ascii="楷体" w:hAnsi="楷体" w:eastAsia="楷体"/>
          <w:szCs w:val="21"/>
        </w:rPr>
        <w:t>本协议</w:t>
      </w:r>
      <w:r>
        <w:rPr>
          <w:rFonts w:ascii="楷体" w:hAnsi="楷体" w:eastAsia="楷体"/>
          <w:szCs w:val="21"/>
        </w:rPr>
        <w:t>所称个人金融信息</w:t>
      </w:r>
      <w:r>
        <w:rPr>
          <w:rFonts w:hint="eastAsia" w:ascii="楷体" w:hAnsi="楷体" w:eastAsia="楷体"/>
          <w:szCs w:val="21"/>
        </w:rPr>
        <w:t>，</w:t>
      </w:r>
      <w:r>
        <w:rPr>
          <w:rFonts w:ascii="楷体" w:hAnsi="楷体" w:eastAsia="楷体"/>
          <w:szCs w:val="21"/>
        </w:rPr>
        <w:t>是指</w:t>
      </w:r>
      <w:r>
        <w:rPr>
          <w:rFonts w:hint="eastAsia" w:ascii="楷体" w:hAnsi="楷体" w:eastAsia="楷体"/>
          <w:szCs w:val="21"/>
        </w:rPr>
        <w:t>乙方</w:t>
      </w:r>
      <w:r>
        <w:rPr>
          <w:rFonts w:ascii="楷体" w:hAnsi="楷体" w:eastAsia="楷体"/>
          <w:szCs w:val="21"/>
        </w:rPr>
        <w:t>作为金融机构</w:t>
      </w:r>
      <w:r>
        <w:rPr>
          <w:rFonts w:hint="eastAsia" w:ascii="楷体" w:hAnsi="楷体" w:eastAsia="楷体"/>
          <w:szCs w:val="21"/>
        </w:rPr>
        <w:t>通过</w:t>
      </w:r>
      <w:r>
        <w:rPr>
          <w:rFonts w:ascii="楷体" w:hAnsi="楷体" w:eastAsia="楷体"/>
          <w:szCs w:val="21"/>
        </w:rPr>
        <w:t>开展业务</w:t>
      </w:r>
      <w:r>
        <w:rPr>
          <w:rFonts w:hint="eastAsia" w:ascii="楷体" w:hAnsi="楷体" w:eastAsia="楷体"/>
          <w:szCs w:val="21"/>
        </w:rPr>
        <w:t>或者</w:t>
      </w:r>
      <w:r>
        <w:rPr>
          <w:rFonts w:ascii="楷体" w:hAnsi="楷体" w:eastAsia="楷体"/>
          <w:szCs w:val="21"/>
        </w:rPr>
        <w:t>其他渠道</w:t>
      </w:r>
      <w:r>
        <w:rPr>
          <w:rFonts w:hint="eastAsia" w:ascii="楷体" w:hAnsi="楷体" w:eastAsia="楷体"/>
          <w:szCs w:val="21"/>
        </w:rPr>
        <w:t>获取、</w:t>
      </w:r>
      <w:r>
        <w:rPr>
          <w:rFonts w:ascii="楷体" w:hAnsi="楷体" w:eastAsia="楷体"/>
          <w:szCs w:val="21"/>
        </w:rPr>
        <w:t>加工</w:t>
      </w:r>
      <w:r>
        <w:rPr>
          <w:rFonts w:hint="eastAsia" w:ascii="楷体" w:hAnsi="楷体" w:eastAsia="楷体"/>
          <w:szCs w:val="21"/>
        </w:rPr>
        <w:t>和</w:t>
      </w:r>
      <w:r>
        <w:rPr>
          <w:rFonts w:ascii="楷体" w:hAnsi="楷体" w:eastAsia="楷体"/>
          <w:szCs w:val="21"/>
        </w:rPr>
        <w:t>保存的</w:t>
      </w:r>
      <w:r>
        <w:rPr>
          <w:rFonts w:hint="eastAsia" w:ascii="楷体" w:hAnsi="楷体" w:eastAsia="楷体"/>
          <w:szCs w:val="21"/>
        </w:rPr>
        <w:t>个人</w:t>
      </w:r>
      <w:r>
        <w:rPr>
          <w:rFonts w:ascii="楷体" w:hAnsi="楷体" w:eastAsia="楷体"/>
          <w:szCs w:val="21"/>
        </w:rPr>
        <w:t>信息</w:t>
      </w:r>
      <w:r>
        <w:rPr>
          <w:rFonts w:hint="eastAsia" w:ascii="楷体" w:hAnsi="楷体" w:eastAsia="楷体"/>
          <w:szCs w:val="21"/>
        </w:rPr>
        <w:t>，</w:t>
      </w:r>
      <w:r>
        <w:rPr>
          <w:rFonts w:ascii="楷体" w:hAnsi="楷体" w:eastAsia="楷体"/>
          <w:szCs w:val="21"/>
        </w:rPr>
        <w:t>包括个人身份</w:t>
      </w:r>
      <w:r>
        <w:rPr>
          <w:rFonts w:hint="eastAsia" w:ascii="楷体" w:hAnsi="楷体" w:eastAsia="楷体"/>
          <w:szCs w:val="21"/>
        </w:rPr>
        <w:t>信息</w:t>
      </w:r>
      <w:r>
        <w:rPr>
          <w:rFonts w:ascii="楷体" w:hAnsi="楷体" w:eastAsia="楷体"/>
          <w:szCs w:val="21"/>
        </w:rPr>
        <w:t>、</w:t>
      </w:r>
      <w:r>
        <w:rPr>
          <w:rFonts w:hint="eastAsia" w:ascii="楷体" w:hAnsi="楷体" w:eastAsia="楷体"/>
          <w:szCs w:val="21"/>
        </w:rPr>
        <w:t>财产信息、</w:t>
      </w:r>
      <w:r>
        <w:rPr>
          <w:rFonts w:ascii="楷体" w:hAnsi="楷体" w:eastAsia="楷体"/>
          <w:szCs w:val="21"/>
        </w:rPr>
        <w:t>信用信息、</w:t>
      </w:r>
      <w:r>
        <w:rPr>
          <w:rFonts w:hint="eastAsia" w:ascii="楷体" w:hAnsi="楷体" w:eastAsia="楷体"/>
          <w:szCs w:val="21"/>
        </w:rPr>
        <w:t>金融</w:t>
      </w:r>
      <w:r>
        <w:rPr>
          <w:rFonts w:ascii="楷体" w:hAnsi="楷体" w:eastAsia="楷体"/>
          <w:szCs w:val="21"/>
        </w:rPr>
        <w:t>交易</w:t>
      </w:r>
      <w:r>
        <w:rPr>
          <w:rFonts w:hint="eastAsia" w:ascii="楷体" w:hAnsi="楷体" w:eastAsia="楷体"/>
          <w:szCs w:val="21"/>
        </w:rPr>
        <w:t>信息</w:t>
      </w:r>
      <w:r>
        <w:rPr>
          <w:rFonts w:ascii="楷体" w:hAnsi="楷体" w:eastAsia="楷体"/>
          <w:szCs w:val="21"/>
        </w:rPr>
        <w:t>及</w:t>
      </w:r>
      <w:r>
        <w:rPr>
          <w:rFonts w:hint="eastAsia" w:ascii="楷体" w:hAnsi="楷体" w:eastAsia="楷体"/>
          <w:szCs w:val="21"/>
        </w:rPr>
        <w:t>其他反映</w:t>
      </w:r>
      <w:r>
        <w:rPr>
          <w:rFonts w:ascii="楷体" w:hAnsi="楷体" w:eastAsia="楷体"/>
          <w:szCs w:val="21"/>
        </w:rPr>
        <w:t>特定</w:t>
      </w:r>
      <w:r>
        <w:rPr>
          <w:rFonts w:hint="eastAsia" w:ascii="楷体" w:hAnsi="楷体" w:eastAsia="楷体"/>
          <w:szCs w:val="21"/>
        </w:rPr>
        <w:t>个人</w:t>
      </w:r>
      <w:r>
        <w:rPr>
          <w:rFonts w:ascii="楷体" w:hAnsi="楷体" w:eastAsia="楷体"/>
          <w:szCs w:val="21"/>
        </w:rPr>
        <w:t>某些</w:t>
      </w:r>
      <w:r>
        <w:rPr>
          <w:rFonts w:hint="eastAsia" w:ascii="楷体" w:hAnsi="楷体" w:eastAsia="楷体"/>
          <w:szCs w:val="21"/>
        </w:rPr>
        <w:t>情况</w:t>
      </w:r>
      <w:r>
        <w:rPr>
          <w:rFonts w:ascii="楷体" w:hAnsi="楷体" w:eastAsia="楷体"/>
          <w:szCs w:val="21"/>
        </w:rPr>
        <w:t>的信息。</w:t>
      </w:r>
      <w:r>
        <w:rPr>
          <w:rFonts w:hint="eastAsia" w:ascii="楷体" w:hAnsi="楷体" w:eastAsia="楷体"/>
          <w:szCs w:val="21"/>
        </w:rPr>
        <w:t>个人金融</w:t>
      </w:r>
      <w:r>
        <w:rPr>
          <w:rFonts w:ascii="楷体" w:hAnsi="楷体" w:eastAsia="楷体"/>
          <w:szCs w:val="21"/>
        </w:rPr>
        <w:t>信息</w:t>
      </w:r>
      <w:r>
        <w:rPr>
          <w:rFonts w:hint="eastAsia" w:ascii="楷体" w:hAnsi="楷体" w:eastAsia="楷体"/>
          <w:szCs w:val="21"/>
        </w:rPr>
        <w:t>包括但不限于</w:t>
      </w:r>
      <w:r>
        <w:rPr>
          <w:rFonts w:ascii="楷体" w:hAnsi="楷体" w:eastAsia="楷体"/>
          <w:szCs w:val="21"/>
        </w:rPr>
        <w:t>：</w:t>
      </w:r>
      <w:r>
        <w:rPr>
          <w:rFonts w:hint="eastAsia" w:ascii="楷体" w:hAnsi="楷体" w:eastAsia="楷体"/>
          <w:szCs w:val="21"/>
        </w:rPr>
        <w:t>客户的银行卡信息（卡号、有效期、CVV2码等）、客户银行账户信息、专属账户信息</w:t>
      </w:r>
      <w:r>
        <w:rPr>
          <w:rFonts w:ascii="楷体" w:hAnsi="楷体" w:eastAsia="楷体"/>
          <w:szCs w:val="21"/>
        </w:rPr>
        <w:t>属</w:t>
      </w:r>
      <w:r>
        <w:rPr>
          <w:rFonts w:hint="eastAsia" w:ascii="楷体" w:hAnsi="楷体" w:eastAsia="楷体"/>
          <w:szCs w:val="21"/>
        </w:rPr>
        <w:t>、交易数据信息等</w:t>
      </w:r>
      <w:r>
        <w:rPr>
          <w:rFonts w:ascii="楷体" w:hAnsi="楷体" w:eastAsia="楷体"/>
          <w:szCs w:val="21"/>
        </w:rPr>
        <w:t>，</w:t>
      </w:r>
      <w:r>
        <w:rPr>
          <w:rFonts w:hint="eastAsia" w:ascii="楷体" w:hAnsi="楷体" w:eastAsia="楷体"/>
          <w:szCs w:val="21"/>
        </w:rPr>
        <w:t>该信息</w:t>
      </w:r>
      <w:r>
        <w:rPr>
          <w:rFonts w:ascii="楷体" w:hAnsi="楷体" w:eastAsia="楷体"/>
          <w:szCs w:val="21"/>
        </w:rPr>
        <w:t>属于本协议约定的保密信息</w:t>
      </w:r>
      <w:r>
        <w:rPr>
          <w:rFonts w:hint="eastAsia" w:ascii="楷体" w:hAnsi="楷体" w:eastAsia="楷体"/>
          <w:szCs w:val="21"/>
        </w:rPr>
        <w:t>。</w:t>
      </w:r>
    </w:p>
    <w:p>
      <w:pPr>
        <w:pStyle w:val="12"/>
        <w:numPr>
          <w:ilvl w:val="0"/>
          <w:numId w:val="15"/>
        </w:numPr>
        <w:ind w:firstLineChars="0"/>
        <w:rPr>
          <w:rFonts w:ascii="楷体" w:hAnsi="楷体" w:eastAsia="楷体"/>
          <w:b/>
          <w:szCs w:val="21"/>
        </w:rPr>
      </w:pPr>
      <w:r>
        <w:rPr>
          <w:rFonts w:hint="eastAsia" w:ascii="楷体" w:hAnsi="楷体" w:eastAsia="楷体"/>
          <w:b/>
          <w:szCs w:val="21"/>
        </w:rPr>
        <w:t>甲</w:t>
      </w:r>
      <w:r>
        <w:rPr>
          <w:rFonts w:ascii="楷体" w:hAnsi="楷体" w:eastAsia="楷体"/>
          <w:b/>
          <w:szCs w:val="21"/>
        </w:rPr>
        <w:t>乙双方为开</w:t>
      </w:r>
      <w:r>
        <w:rPr>
          <w:rFonts w:hint="eastAsia" w:ascii="楷体" w:hAnsi="楷体" w:eastAsia="楷体"/>
          <w:b/>
          <w:szCs w:val="21"/>
        </w:rPr>
        <w:t>展</w:t>
      </w:r>
      <w:r>
        <w:rPr>
          <w:rFonts w:ascii="楷体" w:hAnsi="楷体" w:eastAsia="楷体"/>
          <w:b/>
          <w:szCs w:val="21"/>
        </w:rPr>
        <w:t>本协议约定之合</w:t>
      </w:r>
      <w:r>
        <w:rPr>
          <w:rFonts w:hint="eastAsia" w:ascii="楷体" w:hAnsi="楷体" w:eastAsia="楷体"/>
          <w:b/>
          <w:szCs w:val="21"/>
        </w:rPr>
        <w:t>作，</w:t>
      </w:r>
      <w:r>
        <w:rPr>
          <w:rFonts w:ascii="楷体" w:hAnsi="楷体" w:eastAsia="楷体"/>
          <w:b/>
          <w:szCs w:val="21"/>
        </w:rPr>
        <w:t>需要</w:t>
      </w:r>
      <w:r>
        <w:rPr>
          <w:rFonts w:hint="eastAsia" w:ascii="楷体" w:hAnsi="楷体" w:eastAsia="楷体"/>
          <w:b/>
          <w:szCs w:val="21"/>
        </w:rPr>
        <w:t>收集</w:t>
      </w:r>
      <w:r>
        <w:rPr>
          <w:rFonts w:ascii="楷体" w:hAnsi="楷体" w:eastAsia="楷体"/>
          <w:b/>
          <w:szCs w:val="21"/>
        </w:rPr>
        <w:t>个人信息</w:t>
      </w:r>
      <w:r>
        <w:rPr>
          <w:rFonts w:hint="eastAsia" w:ascii="楷体" w:hAnsi="楷体" w:eastAsia="楷体"/>
          <w:b/>
          <w:szCs w:val="21"/>
        </w:rPr>
        <w:t>时</w:t>
      </w:r>
      <w:r>
        <w:rPr>
          <w:rFonts w:ascii="楷体" w:hAnsi="楷体" w:eastAsia="楷体"/>
          <w:b/>
          <w:szCs w:val="21"/>
        </w:rPr>
        <w:t>，应当遵循</w:t>
      </w:r>
      <w:r>
        <w:rPr>
          <w:rFonts w:hint="eastAsia" w:ascii="楷体" w:hAnsi="楷体" w:eastAsia="楷体"/>
          <w:b/>
          <w:szCs w:val="21"/>
        </w:rPr>
        <w:t>合法</w:t>
      </w:r>
      <w:r>
        <w:rPr>
          <w:rFonts w:ascii="楷体" w:hAnsi="楷体" w:eastAsia="楷体"/>
          <w:b/>
          <w:szCs w:val="21"/>
        </w:rPr>
        <w:t>、合理、</w:t>
      </w:r>
      <w:r>
        <w:rPr>
          <w:rFonts w:hint="eastAsia" w:ascii="楷体" w:hAnsi="楷体" w:eastAsia="楷体"/>
          <w:b/>
          <w:szCs w:val="21"/>
        </w:rPr>
        <w:t>必要</w:t>
      </w:r>
      <w:r>
        <w:rPr>
          <w:rFonts w:ascii="楷体" w:hAnsi="楷体" w:eastAsia="楷体"/>
          <w:b/>
          <w:szCs w:val="21"/>
        </w:rPr>
        <w:t>原则，</w:t>
      </w:r>
      <w:r>
        <w:rPr>
          <w:rFonts w:hint="eastAsia" w:ascii="楷体" w:hAnsi="楷体" w:eastAsia="楷体"/>
          <w:b/>
          <w:szCs w:val="21"/>
        </w:rPr>
        <w:t>不得收集</w:t>
      </w:r>
      <w:r>
        <w:rPr>
          <w:rFonts w:ascii="楷体" w:hAnsi="楷体" w:eastAsia="楷体"/>
          <w:b/>
          <w:szCs w:val="21"/>
        </w:rPr>
        <w:t>与业务无</w:t>
      </w:r>
      <w:r>
        <w:rPr>
          <w:rFonts w:hint="eastAsia" w:ascii="楷体" w:hAnsi="楷体" w:eastAsia="楷体"/>
          <w:b/>
          <w:szCs w:val="21"/>
        </w:rPr>
        <w:t>关</w:t>
      </w:r>
      <w:r>
        <w:rPr>
          <w:rFonts w:ascii="楷体" w:hAnsi="楷体" w:eastAsia="楷体"/>
          <w:b/>
          <w:szCs w:val="21"/>
        </w:rPr>
        <w:t>的信息</w:t>
      </w:r>
      <w:r>
        <w:rPr>
          <w:rFonts w:hint="eastAsia" w:ascii="楷体" w:hAnsi="楷体" w:eastAsia="楷体"/>
          <w:b/>
          <w:szCs w:val="21"/>
        </w:rPr>
        <w:t>或者</w:t>
      </w:r>
      <w:r>
        <w:rPr>
          <w:rFonts w:ascii="楷体" w:hAnsi="楷体" w:eastAsia="楷体"/>
          <w:b/>
          <w:szCs w:val="21"/>
        </w:rPr>
        <w:t>采取不正当方式</w:t>
      </w:r>
      <w:r>
        <w:rPr>
          <w:rFonts w:hint="eastAsia" w:ascii="楷体" w:hAnsi="楷体" w:eastAsia="楷体"/>
          <w:b/>
          <w:szCs w:val="21"/>
        </w:rPr>
        <w:t>收集</w:t>
      </w:r>
      <w:r>
        <w:rPr>
          <w:rFonts w:ascii="楷体" w:hAnsi="楷体" w:eastAsia="楷体"/>
          <w:b/>
          <w:szCs w:val="21"/>
        </w:rPr>
        <w:t>信息，</w:t>
      </w:r>
      <w:r>
        <w:rPr>
          <w:rFonts w:hint="eastAsia" w:ascii="楷体" w:hAnsi="楷体" w:eastAsia="楷体"/>
          <w:b/>
          <w:szCs w:val="21"/>
        </w:rPr>
        <w:t>不得</w:t>
      </w:r>
      <w:r>
        <w:rPr>
          <w:rFonts w:ascii="楷体" w:hAnsi="楷体" w:eastAsia="楷体"/>
          <w:b/>
          <w:szCs w:val="21"/>
        </w:rPr>
        <w:t>非法存储个人金融信息，</w:t>
      </w:r>
      <w:r>
        <w:rPr>
          <w:rFonts w:hint="eastAsia" w:ascii="楷体" w:hAnsi="楷体" w:eastAsia="楷体"/>
          <w:b/>
          <w:szCs w:val="21"/>
        </w:rPr>
        <w:t>应</w:t>
      </w:r>
      <w:r>
        <w:rPr>
          <w:rFonts w:ascii="楷体" w:hAnsi="楷体" w:eastAsia="楷体"/>
          <w:b/>
          <w:szCs w:val="21"/>
        </w:rPr>
        <w:t>妥善保管</w:t>
      </w:r>
      <w:r>
        <w:rPr>
          <w:rFonts w:hint="eastAsia" w:ascii="楷体" w:hAnsi="楷体" w:eastAsia="楷体"/>
          <w:b/>
          <w:szCs w:val="21"/>
        </w:rPr>
        <w:t>依法收集</w:t>
      </w:r>
      <w:r>
        <w:rPr>
          <w:rFonts w:ascii="楷体" w:hAnsi="楷体" w:eastAsia="楷体"/>
          <w:b/>
          <w:szCs w:val="21"/>
        </w:rPr>
        <w:t>的个人金融信息</w:t>
      </w:r>
      <w:r>
        <w:rPr>
          <w:rFonts w:hint="eastAsia" w:ascii="楷体" w:hAnsi="楷体" w:eastAsia="楷体"/>
          <w:b/>
          <w:szCs w:val="21"/>
        </w:rPr>
        <w:t>，防止</w:t>
      </w:r>
      <w:r>
        <w:rPr>
          <w:rFonts w:ascii="楷体" w:hAnsi="楷体" w:eastAsia="楷体"/>
          <w:b/>
          <w:szCs w:val="21"/>
        </w:rPr>
        <w:t>信息</w:t>
      </w:r>
      <w:r>
        <w:rPr>
          <w:rFonts w:hint="eastAsia" w:ascii="楷体" w:hAnsi="楷体" w:eastAsia="楷体"/>
          <w:b/>
          <w:szCs w:val="21"/>
        </w:rPr>
        <w:t>遗失</w:t>
      </w:r>
      <w:r>
        <w:rPr>
          <w:rFonts w:ascii="楷体" w:hAnsi="楷体" w:eastAsia="楷体"/>
          <w:b/>
          <w:szCs w:val="21"/>
        </w:rPr>
        <w:t>、</w:t>
      </w:r>
      <w:r>
        <w:rPr>
          <w:rFonts w:hint="eastAsia" w:ascii="楷体" w:hAnsi="楷体" w:eastAsia="楷体"/>
          <w:b/>
          <w:szCs w:val="21"/>
        </w:rPr>
        <w:t>毁损</w:t>
      </w:r>
      <w:r>
        <w:rPr>
          <w:rFonts w:ascii="楷体" w:hAnsi="楷体" w:eastAsia="楷体"/>
          <w:b/>
          <w:szCs w:val="21"/>
        </w:rPr>
        <w:t>、</w:t>
      </w:r>
      <w:r>
        <w:rPr>
          <w:rFonts w:hint="eastAsia" w:ascii="楷体" w:hAnsi="楷体" w:eastAsia="楷体"/>
          <w:b/>
          <w:szCs w:val="21"/>
        </w:rPr>
        <w:t>泄露</w:t>
      </w:r>
      <w:r>
        <w:rPr>
          <w:rFonts w:ascii="楷体" w:hAnsi="楷体" w:eastAsia="楷体"/>
          <w:b/>
          <w:szCs w:val="21"/>
        </w:rPr>
        <w:t>或者篡改</w:t>
      </w:r>
      <w:r>
        <w:rPr>
          <w:rFonts w:hint="eastAsia" w:ascii="楷体" w:hAnsi="楷体" w:eastAsia="楷体"/>
          <w:b/>
          <w:szCs w:val="21"/>
        </w:rPr>
        <w:t>，</w:t>
      </w:r>
      <w:r>
        <w:rPr>
          <w:rFonts w:ascii="楷体" w:hAnsi="楷体" w:eastAsia="楷体"/>
          <w:b/>
          <w:szCs w:val="21"/>
        </w:rPr>
        <w:t>如发生该等情况的，</w:t>
      </w:r>
      <w:r>
        <w:rPr>
          <w:rFonts w:hint="eastAsia" w:ascii="楷体" w:hAnsi="楷体" w:eastAsia="楷体"/>
          <w:b/>
          <w:szCs w:val="21"/>
        </w:rPr>
        <w:t>应当</w:t>
      </w:r>
      <w:r>
        <w:rPr>
          <w:rFonts w:ascii="楷体" w:hAnsi="楷体" w:eastAsia="楷体"/>
          <w:b/>
          <w:szCs w:val="21"/>
        </w:rPr>
        <w:t>立即采取补救措施</w:t>
      </w:r>
      <w:r>
        <w:rPr>
          <w:rFonts w:hint="eastAsia" w:ascii="楷体" w:hAnsi="楷体" w:eastAsia="楷体"/>
          <w:b/>
          <w:szCs w:val="21"/>
        </w:rPr>
        <w:t>，</w:t>
      </w:r>
      <w:r>
        <w:rPr>
          <w:rFonts w:ascii="楷体" w:hAnsi="楷体" w:eastAsia="楷体"/>
          <w:b/>
          <w:szCs w:val="21"/>
        </w:rPr>
        <w:t>及时告知客户并</w:t>
      </w:r>
      <w:r>
        <w:rPr>
          <w:rFonts w:hint="eastAsia" w:ascii="楷体" w:hAnsi="楷体" w:eastAsia="楷体"/>
          <w:b/>
          <w:szCs w:val="21"/>
        </w:rPr>
        <w:t>向</w:t>
      </w:r>
      <w:r>
        <w:rPr>
          <w:rFonts w:ascii="楷体" w:hAnsi="楷体" w:eastAsia="楷体"/>
          <w:b/>
          <w:szCs w:val="21"/>
        </w:rPr>
        <w:t>有关主管部门报告。</w:t>
      </w:r>
      <w:r>
        <w:rPr>
          <w:rFonts w:hint="eastAsia" w:ascii="楷体" w:hAnsi="楷体" w:eastAsia="楷体"/>
          <w:b/>
          <w:szCs w:val="21"/>
        </w:rPr>
        <w:t>甲</w:t>
      </w:r>
      <w:r>
        <w:rPr>
          <w:rFonts w:ascii="楷体" w:hAnsi="楷体" w:eastAsia="楷体"/>
          <w:b/>
          <w:szCs w:val="21"/>
        </w:rPr>
        <w:t>乙双方的工作人员</w:t>
      </w:r>
      <w:r>
        <w:rPr>
          <w:rFonts w:hint="eastAsia" w:ascii="楷体" w:hAnsi="楷体" w:eastAsia="楷体"/>
          <w:b/>
          <w:szCs w:val="21"/>
        </w:rPr>
        <w:t>应当</w:t>
      </w:r>
      <w:r>
        <w:rPr>
          <w:rFonts w:ascii="楷体" w:hAnsi="楷体" w:eastAsia="楷体"/>
          <w:b/>
          <w:szCs w:val="21"/>
        </w:rPr>
        <w:t>对</w:t>
      </w:r>
      <w:r>
        <w:rPr>
          <w:rFonts w:hint="eastAsia" w:ascii="楷体" w:hAnsi="楷体" w:eastAsia="楷体"/>
          <w:b/>
          <w:szCs w:val="21"/>
        </w:rPr>
        <w:t>业务</w:t>
      </w:r>
      <w:r>
        <w:rPr>
          <w:rFonts w:ascii="楷体" w:hAnsi="楷体" w:eastAsia="楷体"/>
          <w:b/>
          <w:szCs w:val="21"/>
        </w:rPr>
        <w:t>过程中</w:t>
      </w:r>
      <w:r>
        <w:rPr>
          <w:rFonts w:hint="eastAsia" w:ascii="楷体" w:hAnsi="楷体" w:eastAsia="楷体"/>
          <w:b/>
          <w:szCs w:val="21"/>
        </w:rPr>
        <w:t>知悉</w:t>
      </w:r>
      <w:r>
        <w:rPr>
          <w:rFonts w:ascii="楷体" w:hAnsi="楷体" w:eastAsia="楷体"/>
          <w:b/>
          <w:szCs w:val="21"/>
        </w:rPr>
        <w:t>的</w:t>
      </w:r>
      <w:r>
        <w:rPr>
          <w:rFonts w:hint="eastAsia" w:ascii="楷体" w:hAnsi="楷体" w:eastAsia="楷体"/>
          <w:b/>
          <w:szCs w:val="21"/>
        </w:rPr>
        <w:t>个人</w:t>
      </w:r>
      <w:r>
        <w:rPr>
          <w:rFonts w:ascii="楷体" w:hAnsi="楷体" w:eastAsia="楷体"/>
          <w:b/>
          <w:szCs w:val="21"/>
        </w:rPr>
        <w:t>金融信息</w:t>
      </w:r>
      <w:r>
        <w:rPr>
          <w:rFonts w:hint="eastAsia" w:ascii="楷体" w:hAnsi="楷体" w:eastAsia="楷体"/>
          <w:b/>
          <w:szCs w:val="21"/>
        </w:rPr>
        <w:t>予以</w:t>
      </w:r>
      <w:r>
        <w:rPr>
          <w:rFonts w:ascii="楷体" w:hAnsi="楷体" w:eastAsia="楷体"/>
          <w:b/>
          <w:szCs w:val="21"/>
        </w:rPr>
        <w:t>保密</w:t>
      </w:r>
      <w:r>
        <w:rPr>
          <w:rFonts w:hint="eastAsia" w:ascii="楷体" w:hAnsi="楷体" w:eastAsia="楷体"/>
          <w:b/>
          <w:szCs w:val="21"/>
        </w:rPr>
        <w:t>，</w:t>
      </w:r>
      <w:r>
        <w:rPr>
          <w:rFonts w:ascii="楷体" w:hAnsi="楷体" w:eastAsia="楷体"/>
          <w:b/>
          <w:szCs w:val="21"/>
        </w:rPr>
        <w:t>不得非法复制</w:t>
      </w:r>
      <w:r>
        <w:rPr>
          <w:rFonts w:hint="eastAsia" w:ascii="楷体" w:hAnsi="楷体" w:eastAsia="楷体"/>
          <w:b/>
          <w:szCs w:val="21"/>
        </w:rPr>
        <w:t>、</w:t>
      </w:r>
      <w:r>
        <w:rPr>
          <w:rFonts w:ascii="楷体" w:hAnsi="楷体" w:eastAsia="楷体"/>
          <w:b/>
          <w:szCs w:val="21"/>
        </w:rPr>
        <w:t>非法</w:t>
      </w:r>
      <w:r>
        <w:rPr>
          <w:rFonts w:hint="eastAsia" w:ascii="楷体" w:hAnsi="楷体" w:eastAsia="楷体"/>
          <w:b/>
          <w:szCs w:val="21"/>
        </w:rPr>
        <w:t>存储、</w:t>
      </w:r>
      <w:r>
        <w:rPr>
          <w:rFonts w:ascii="楷体" w:hAnsi="楷体" w:eastAsia="楷体"/>
          <w:b/>
          <w:szCs w:val="21"/>
        </w:rPr>
        <w:t>非法使用</w:t>
      </w:r>
      <w:r>
        <w:rPr>
          <w:rFonts w:hint="eastAsia" w:ascii="楷体" w:hAnsi="楷体" w:eastAsia="楷体"/>
          <w:b/>
          <w:szCs w:val="21"/>
        </w:rPr>
        <w:t>、</w:t>
      </w:r>
      <w:r>
        <w:rPr>
          <w:rFonts w:ascii="楷体" w:hAnsi="楷体" w:eastAsia="楷体"/>
          <w:b/>
          <w:szCs w:val="21"/>
        </w:rPr>
        <w:t>向他</w:t>
      </w:r>
      <w:r>
        <w:rPr>
          <w:rFonts w:hint="eastAsia" w:ascii="楷体" w:hAnsi="楷体" w:eastAsia="楷体"/>
          <w:b/>
          <w:szCs w:val="21"/>
        </w:rPr>
        <w:t>人</w:t>
      </w:r>
      <w:r>
        <w:rPr>
          <w:rFonts w:ascii="楷体" w:hAnsi="楷体" w:eastAsia="楷体"/>
          <w:b/>
          <w:szCs w:val="21"/>
        </w:rPr>
        <w:t>出售</w:t>
      </w:r>
      <w:r>
        <w:rPr>
          <w:rFonts w:hint="eastAsia" w:ascii="楷体" w:hAnsi="楷体" w:eastAsia="楷体"/>
          <w:b/>
          <w:szCs w:val="21"/>
        </w:rPr>
        <w:t>或者以</w:t>
      </w:r>
      <w:r>
        <w:rPr>
          <w:rFonts w:ascii="楷体" w:hAnsi="楷体" w:eastAsia="楷体"/>
          <w:b/>
          <w:szCs w:val="21"/>
        </w:rPr>
        <w:t>其他</w:t>
      </w:r>
      <w:r>
        <w:rPr>
          <w:rFonts w:hint="eastAsia" w:ascii="楷体" w:hAnsi="楷体" w:eastAsia="楷体"/>
          <w:b/>
          <w:szCs w:val="21"/>
        </w:rPr>
        <w:t>非法</w:t>
      </w:r>
      <w:r>
        <w:rPr>
          <w:rFonts w:ascii="楷体" w:hAnsi="楷体" w:eastAsia="楷体"/>
          <w:b/>
          <w:szCs w:val="21"/>
        </w:rPr>
        <w:t>形式</w:t>
      </w:r>
      <w:r>
        <w:rPr>
          <w:rFonts w:hint="eastAsia" w:ascii="楷体" w:hAnsi="楷体" w:eastAsia="楷体"/>
          <w:b/>
          <w:szCs w:val="21"/>
        </w:rPr>
        <w:t>泄露</w:t>
      </w:r>
      <w:r>
        <w:rPr>
          <w:rFonts w:ascii="楷体" w:hAnsi="楷体" w:eastAsia="楷体"/>
          <w:b/>
          <w:szCs w:val="21"/>
        </w:rPr>
        <w:t>个人</w:t>
      </w:r>
      <w:r>
        <w:rPr>
          <w:rFonts w:hint="eastAsia" w:ascii="楷体" w:hAnsi="楷体" w:eastAsia="楷体"/>
          <w:b/>
          <w:szCs w:val="21"/>
        </w:rPr>
        <w:t>金融</w:t>
      </w:r>
      <w:r>
        <w:rPr>
          <w:rFonts w:ascii="楷体" w:hAnsi="楷体" w:eastAsia="楷体"/>
          <w:b/>
          <w:szCs w:val="21"/>
        </w:rPr>
        <w:t>信息。</w:t>
      </w:r>
    </w:p>
    <w:p>
      <w:pPr>
        <w:pStyle w:val="12"/>
        <w:numPr>
          <w:ilvl w:val="0"/>
          <w:numId w:val="15"/>
        </w:numPr>
        <w:ind w:firstLineChars="0"/>
        <w:rPr>
          <w:rFonts w:ascii="楷体" w:hAnsi="楷体" w:eastAsia="楷体"/>
          <w:szCs w:val="21"/>
        </w:rPr>
      </w:pPr>
      <w:r>
        <w:rPr>
          <w:rFonts w:hint="eastAsia" w:ascii="楷体" w:hAnsi="楷体" w:eastAsia="楷体"/>
          <w:szCs w:val="21"/>
        </w:rPr>
        <w:t>任何一方不得将上述保密信息泄露给任何第三方，亦不得不正当的利用上述保密信息。任何一方的此等保密义务于本协议终止、变更或解除后继续存续，直至非因其自身原因而导致另一方保密信息公开为止。</w:t>
      </w:r>
    </w:p>
    <w:p>
      <w:pPr>
        <w:rPr>
          <w:rFonts w:ascii="楷体" w:hAnsi="楷体" w:eastAsia="楷体"/>
          <w:b/>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反商业贿赂</w:t>
      </w:r>
    </w:p>
    <w:p>
      <w:pPr>
        <w:pStyle w:val="12"/>
        <w:numPr>
          <w:ilvl w:val="0"/>
          <w:numId w:val="16"/>
        </w:numPr>
        <w:ind w:firstLineChars="0"/>
        <w:rPr>
          <w:rFonts w:ascii="楷体" w:hAnsi="楷体" w:eastAsia="楷体"/>
          <w:b/>
          <w:szCs w:val="21"/>
        </w:rPr>
      </w:pPr>
      <w:r>
        <w:rPr>
          <w:rFonts w:hint="eastAsia" w:ascii="楷体" w:hAnsi="楷体" w:eastAsia="楷体"/>
          <w:b/>
          <w:szCs w:val="21"/>
        </w:rPr>
        <w:t>商业贿赂</w:t>
      </w:r>
    </w:p>
    <w:p>
      <w:pPr>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本协议所指的商业贿赂是指甲方或甲方的工作人员以甲方或个人名义向乙方或乙方的工作人员实施的，包括但不限于以下行为：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给付或收受现金的贿赂行为;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给付或收受各种各样的费用(促销费、赞助费、广告宣传费、劳务费</w:t>
      </w:r>
      <w:r>
        <w:rPr>
          <w:rFonts w:hint="eastAsia" w:ascii="楷体" w:hAnsi="楷体" w:eastAsia="楷体"/>
          <w:color w:val="000000" w:themeColor="text1"/>
          <w:szCs w:val="21"/>
          <w14:textFill>
            <w14:solidFill>
              <w14:schemeClr w14:val="tx1"/>
            </w14:solidFill>
          </w14:textFill>
        </w:rPr>
        <w:t>、科研费、咨询费</w:t>
      </w:r>
      <w:r>
        <w:rPr>
          <w:rFonts w:ascii="楷体" w:hAnsi="楷体" w:eastAsia="楷体"/>
          <w:color w:val="000000" w:themeColor="text1"/>
          <w:szCs w:val="21"/>
          <w14:textFill>
            <w14:solidFill>
              <w14:schemeClr w14:val="tx1"/>
            </w14:solidFill>
          </w14:textFill>
        </w:rPr>
        <w:t>等)、红包、礼金等贿赂行为;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给付或收受有价证券(包括债券、股票等)</w:t>
      </w:r>
      <w:r>
        <w:rPr>
          <w:rFonts w:hint="eastAsia" w:ascii="楷体" w:hAnsi="楷体" w:eastAsia="楷体"/>
          <w:color w:val="000000" w:themeColor="text1"/>
          <w:szCs w:val="21"/>
          <w14:textFill>
            <w14:solidFill>
              <w14:schemeClr w14:val="tx1"/>
            </w14:solidFill>
          </w14:textFill>
        </w:rPr>
        <w:t>的行为；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给付或收受</w:t>
      </w:r>
      <w:r>
        <w:rPr>
          <w:rFonts w:hint="eastAsia" w:ascii="楷体" w:hAnsi="楷体" w:eastAsia="楷体"/>
          <w:color w:val="000000" w:themeColor="text1"/>
          <w:szCs w:val="21"/>
          <w14:textFill>
            <w14:solidFill>
              <w14:schemeClr w14:val="tx1"/>
            </w14:solidFill>
          </w14:textFill>
        </w:rPr>
        <w:t>免费或低价的股权、期权的行为；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给付或收受实物(包括各种高档生活用品、奢侈消费品、工艺品、收藏品等</w:t>
      </w:r>
      <w:r>
        <w:rPr>
          <w:rFonts w:hint="eastAsia" w:ascii="楷体" w:hAnsi="楷体" w:eastAsia="楷体"/>
          <w:color w:val="000000" w:themeColor="text1"/>
          <w:szCs w:val="21"/>
          <w14:textFill>
            <w14:solidFill>
              <w14:schemeClr w14:val="tx1"/>
            </w14:solidFill>
          </w14:textFill>
        </w:rPr>
        <w:t>，</w:t>
      </w:r>
      <w:r>
        <w:rPr>
          <w:rFonts w:ascii="楷体" w:hAnsi="楷体" w:eastAsia="楷体"/>
          <w:color w:val="000000" w:themeColor="text1"/>
          <w:szCs w:val="21"/>
          <w14:textFill>
            <w14:solidFill>
              <w14:schemeClr w14:val="tx1"/>
            </w14:solidFill>
          </w14:textFill>
        </w:rPr>
        <w:t>以及房屋、车辆等大宗商品)</w:t>
      </w:r>
      <w:r>
        <w:rPr>
          <w:rFonts w:hint="eastAsia" w:ascii="楷体" w:hAnsi="楷体" w:eastAsia="楷体"/>
          <w:color w:val="000000" w:themeColor="text1"/>
          <w:szCs w:val="21"/>
          <w14:textFill>
            <w14:solidFill>
              <w14:schemeClr w14:val="tx1"/>
            </w14:solidFill>
          </w14:textFill>
        </w:rPr>
        <w:t>的行为</w:t>
      </w:r>
      <w:r>
        <w:rPr>
          <w:rFonts w:ascii="楷体" w:hAnsi="楷体" w:eastAsia="楷体"/>
          <w:color w:val="000000" w:themeColor="text1"/>
          <w:szCs w:val="21"/>
          <w14:textFill>
            <w14:solidFill>
              <w14:schemeClr w14:val="tx1"/>
            </w14:solidFill>
          </w14:textFill>
        </w:rPr>
        <w:t>;</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以其他形态给付或收受(如</w:t>
      </w:r>
      <w:r>
        <w:rPr>
          <w:rFonts w:hint="eastAsia" w:ascii="楷体" w:hAnsi="楷体" w:eastAsia="楷体"/>
          <w:color w:val="000000" w:themeColor="text1"/>
          <w:szCs w:val="21"/>
          <w14:textFill>
            <w14:solidFill>
              <w14:schemeClr w14:val="tx1"/>
            </w14:solidFill>
          </w14:textFill>
        </w:rPr>
        <w:t>借款、</w:t>
      </w:r>
      <w:r>
        <w:rPr>
          <w:rFonts w:ascii="楷体" w:hAnsi="楷体" w:eastAsia="楷体"/>
          <w:color w:val="000000" w:themeColor="text1"/>
          <w:szCs w:val="21"/>
          <w14:textFill>
            <w14:solidFill>
              <w14:schemeClr w14:val="tx1"/>
            </w14:solidFill>
          </w14:textFill>
        </w:rPr>
        <w:t>减免债务、提供担保、免费娱乐、旅游、考察等财产性利益以及就学、荣誉、特殊待遇等非财产性利益)</w:t>
      </w:r>
      <w:r>
        <w:rPr>
          <w:rFonts w:hint="eastAsia" w:ascii="楷体" w:hAnsi="楷体" w:eastAsia="楷体"/>
          <w:color w:val="000000" w:themeColor="text1"/>
          <w:szCs w:val="21"/>
          <w14:textFill>
            <w14:solidFill>
              <w14:schemeClr w14:val="tx1"/>
            </w14:solidFill>
          </w14:textFill>
        </w:rPr>
        <w:t>的行为</w:t>
      </w:r>
      <w:r>
        <w:rPr>
          <w:rFonts w:ascii="楷体" w:hAnsi="楷体" w:eastAsia="楷体"/>
          <w:color w:val="000000" w:themeColor="text1"/>
          <w:szCs w:val="21"/>
          <w14:textFill>
            <w14:solidFill>
              <w14:schemeClr w14:val="tx1"/>
            </w14:solidFill>
          </w14:textFill>
        </w:rPr>
        <w:t>;</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给予或收受回扣</w:t>
      </w:r>
      <w:r>
        <w:rPr>
          <w:rFonts w:hint="eastAsia" w:ascii="楷体" w:hAnsi="楷体" w:eastAsia="楷体"/>
          <w:color w:val="000000" w:themeColor="text1"/>
          <w:szCs w:val="21"/>
          <w14:textFill>
            <w14:solidFill>
              <w14:schemeClr w14:val="tx1"/>
            </w14:solidFill>
          </w14:textFill>
        </w:rPr>
        <w:t>的行为</w:t>
      </w:r>
      <w:r>
        <w:rPr>
          <w:rFonts w:ascii="楷体" w:hAnsi="楷体" w:eastAsia="楷体"/>
          <w:color w:val="000000" w:themeColor="text1"/>
          <w:szCs w:val="21"/>
          <w14:textFill>
            <w14:solidFill>
              <w14:schemeClr w14:val="tx1"/>
            </w14:solidFill>
          </w14:textFill>
        </w:rPr>
        <w:t>;</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给予或收受佣金不如实入账，假借佣金之名进行商业贿赂</w:t>
      </w:r>
      <w:r>
        <w:rPr>
          <w:rFonts w:hint="eastAsia" w:ascii="楷体" w:hAnsi="楷体" w:eastAsia="楷体"/>
          <w:color w:val="000000" w:themeColor="text1"/>
          <w:szCs w:val="21"/>
          <w14:textFill>
            <w14:solidFill>
              <w14:schemeClr w14:val="tx1"/>
            </w14:solidFill>
          </w14:textFill>
        </w:rPr>
        <w:t>的行为；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给付或收受</w:t>
      </w:r>
      <w:r>
        <w:rPr>
          <w:rFonts w:hint="eastAsia" w:ascii="楷体" w:hAnsi="楷体" w:eastAsia="楷体"/>
          <w:color w:val="000000" w:themeColor="text1"/>
          <w:szCs w:val="21"/>
          <w14:textFill>
            <w14:solidFill>
              <w14:schemeClr w14:val="tx1"/>
            </w14:solidFill>
          </w14:textFill>
        </w:rPr>
        <w:t>对方低于市场价格水平的商品或服务的行为；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赞助对方员工本人、员工亲戚、其他中间人及其所在企业组织的任何活动的行为；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为对方学习、培训、工作、晋升、发展提供便利，承担有关费用，或为对方人员的非工作性质出差提供吃穿住行等方面便利的行为；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《中华人民共和国刑法》、《中华人民共和国反不正当竞争法》等相关法律、法规禁止的其他商业贿赂行为；</w:t>
      </w:r>
    </w:p>
    <w:p>
      <w:pPr>
        <w:pStyle w:val="18"/>
        <w:numPr>
          <w:ilvl w:val="0"/>
          <w:numId w:val="17"/>
        </w:numPr>
        <w:ind w:firstLineChars="0"/>
        <w:rPr>
          <w:rFonts w:ascii="楷体" w:hAnsi="楷体" w:eastAsia="楷体"/>
          <w:szCs w:val="21"/>
        </w:rPr>
      </w:pPr>
      <w:r>
        <w:rPr>
          <w:rFonts w:hint="eastAsia" w:ascii="楷体" w:hAnsi="楷体" w:eastAsia="楷体"/>
          <w:szCs w:val="21"/>
        </w:rPr>
        <w:t xml:space="preserve">但不包括以下行为：  </w:t>
      </w:r>
    </w:p>
    <w:p>
      <w:pPr>
        <w:rPr>
          <w:rFonts w:ascii="楷体" w:hAnsi="楷体" w:eastAsia="楷体"/>
          <w:szCs w:val="21"/>
        </w:rPr>
      </w:pPr>
      <w:r>
        <w:rPr>
          <w:rFonts w:hint="eastAsia" w:ascii="楷体" w:hAnsi="楷体" w:eastAsia="楷体"/>
          <w:szCs w:val="21"/>
        </w:rPr>
        <w:t>（1）基于商业礼仪、赠送的单次市场总价为</w:t>
      </w:r>
      <w:r>
        <w:rPr>
          <w:rFonts w:ascii="楷体" w:hAnsi="楷体" w:eastAsia="楷体"/>
          <w:szCs w:val="21"/>
        </w:rPr>
        <w:t>500</w:t>
      </w:r>
      <w:r>
        <w:rPr>
          <w:rFonts w:hint="eastAsia" w:ascii="楷体" w:hAnsi="楷体" w:eastAsia="楷体"/>
          <w:szCs w:val="21"/>
        </w:rPr>
        <w:t xml:space="preserve">元以下的小礼品、地方特产；   </w:t>
      </w:r>
    </w:p>
    <w:p>
      <w:pPr>
        <w:rPr>
          <w:rFonts w:ascii="楷体" w:hAnsi="楷体" w:eastAsia="楷体"/>
          <w:szCs w:val="21"/>
        </w:rPr>
      </w:pPr>
      <w:r>
        <w:rPr>
          <w:rFonts w:hint="eastAsia" w:ascii="楷体" w:hAnsi="楷体" w:eastAsia="楷体"/>
          <w:szCs w:val="21"/>
        </w:rPr>
        <w:t>（2）基于商业接待礼仪，提供工作餐（</w:t>
      </w:r>
      <w:r>
        <w:rPr>
          <w:rFonts w:ascii="楷体" w:hAnsi="楷体" w:eastAsia="楷体"/>
          <w:szCs w:val="21"/>
        </w:rPr>
        <w:t>200</w:t>
      </w:r>
      <w:r>
        <w:rPr>
          <w:rFonts w:hint="eastAsia" w:ascii="楷体" w:hAnsi="楷体" w:eastAsia="楷体"/>
          <w:szCs w:val="21"/>
        </w:rPr>
        <w:t xml:space="preserve">元以下）、普通住宿、交通等与协议履行相关的工作方便； </w:t>
      </w:r>
    </w:p>
    <w:p>
      <w:pPr>
        <w:rPr>
          <w:rFonts w:ascii="楷体" w:hAnsi="楷体" w:eastAsia="楷体"/>
          <w:szCs w:val="21"/>
        </w:rPr>
      </w:pPr>
      <w:r>
        <w:rPr>
          <w:rFonts w:hint="eastAsia" w:ascii="楷体" w:hAnsi="楷体" w:eastAsia="楷体"/>
          <w:szCs w:val="21"/>
        </w:rPr>
        <w:t>（3）经乙方法务内审部书面备案批准，乙方“经理级”以上干部及其指派人员，因业务需要而参加供应商举行的餐会，但餐会后无其他任何性质的娱乐活动。</w:t>
      </w:r>
    </w:p>
    <w:p>
      <w:pPr>
        <w:pStyle w:val="12"/>
        <w:numPr>
          <w:ilvl w:val="0"/>
          <w:numId w:val="16"/>
        </w:numPr>
        <w:ind w:firstLineChars="0"/>
        <w:rPr>
          <w:rFonts w:ascii="楷体" w:hAnsi="楷体" w:eastAsia="楷体"/>
          <w:b/>
          <w:szCs w:val="21"/>
        </w:rPr>
      </w:pPr>
      <w:r>
        <w:rPr>
          <w:rFonts w:hint="eastAsia" w:ascii="楷体" w:hAnsi="楷体" w:eastAsia="楷体"/>
          <w:b/>
          <w:szCs w:val="21"/>
        </w:rPr>
        <w:t xml:space="preserve">协助义务 </w:t>
      </w:r>
    </w:p>
    <w:p>
      <w:pPr>
        <w:pStyle w:val="18"/>
        <w:numPr>
          <w:ilvl w:val="0"/>
          <w:numId w:val="18"/>
        </w:numPr>
        <w:ind w:firstLineChars="0"/>
        <w:rPr>
          <w:rFonts w:ascii="楷体" w:hAnsi="楷体" w:eastAsia="楷体"/>
          <w:szCs w:val="21"/>
        </w:rPr>
      </w:pPr>
      <w:r>
        <w:rPr>
          <w:rFonts w:hint="eastAsia" w:ascii="楷体" w:hAnsi="楷体" w:eastAsia="楷体"/>
          <w:szCs w:val="21"/>
        </w:rPr>
        <w:t>若乙方工作人员要求甲方或甲方工作人员以上述商业贿赂形式，给予其任何形式的不正当利益，甲方或甲方工作人员应予以拒绝并通过乙方设立的举报邮箱、举报信箱或其他书面方式告知乙方。甲方有义务向乙方提供相关证据，经乙方查实后作出处理，并承诺为甲方保密。对于甲方的协助，乙方将根据情况给予甲方更多的商业机会并对协助者本人视情况提供一定的现金奖励（为保密需要，此资金由乙方法务内审部填写领据，经董事长直接审批后支取现金，由法务内审部交给协助人或直接存入协助者私人账号）。</w:t>
      </w:r>
    </w:p>
    <w:p>
      <w:pPr>
        <w:pStyle w:val="18"/>
        <w:numPr>
          <w:ilvl w:val="0"/>
          <w:numId w:val="18"/>
        </w:numPr>
        <w:ind w:firstLineChars="0"/>
        <w:rPr>
          <w:rFonts w:ascii="楷体" w:hAnsi="楷体" w:eastAsia="楷体"/>
          <w:b/>
          <w:szCs w:val="21"/>
        </w:rPr>
      </w:pPr>
      <w:r>
        <w:rPr>
          <w:rFonts w:hint="eastAsia" w:ascii="楷体" w:hAnsi="楷体" w:eastAsia="楷体"/>
          <w:b/>
          <w:szCs w:val="21"/>
        </w:rPr>
        <w:t>乙方举报邮箱地址为：</w:t>
      </w:r>
      <w:r>
        <w:rPr>
          <w:rFonts w:ascii="楷体" w:hAnsi="楷体" w:eastAsia="楷体"/>
          <w:b/>
          <w:szCs w:val="21"/>
          <w:u w:val="single"/>
        </w:rPr>
        <w:t>audit@huifu.com</w:t>
      </w:r>
      <w:r>
        <w:rPr>
          <w:rFonts w:hint="eastAsia" w:ascii="楷体" w:hAnsi="楷体" w:eastAsia="楷体"/>
          <w:b/>
          <w:szCs w:val="21"/>
        </w:rPr>
        <w:t>；</w:t>
      </w:r>
      <w:r>
        <w:rPr>
          <w:rFonts w:ascii="楷体" w:hAnsi="楷体" w:eastAsia="楷体"/>
          <w:b/>
          <w:szCs w:val="21"/>
        </w:rPr>
        <w:t>举报信箱地址为</w:t>
      </w:r>
      <w:r>
        <w:rPr>
          <w:rFonts w:hint="eastAsia" w:ascii="楷体" w:hAnsi="楷体" w:eastAsia="楷体"/>
          <w:b/>
          <w:szCs w:val="21"/>
        </w:rPr>
        <w:t>：</w:t>
      </w:r>
      <w:r>
        <w:rPr>
          <w:rFonts w:hint="eastAsia" w:ascii="楷体" w:hAnsi="楷体" w:eastAsia="楷体"/>
          <w:b/>
          <w:szCs w:val="21"/>
          <w:u w:val="single"/>
        </w:rPr>
        <w:t>上海市宜山路</w:t>
      </w:r>
      <w:r>
        <w:rPr>
          <w:rFonts w:ascii="楷体" w:hAnsi="楷体" w:eastAsia="楷体"/>
          <w:b/>
          <w:szCs w:val="21"/>
          <w:u w:val="single"/>
        </w:rPr>
        <w:t>700号普天信息产业园2期C5栋1楼网安警务室对面</w:t>
      </w:r>
      <w:r>
        <w:rPr>
          <w:rFonts w:hint="eastAsia" w:ascii="楷体" w:hAnsi="楷体" w:eastAsia="楷体"/>
          <w:b/>
          <w:szCs w:val="21"/>
        </w:rPr>
        <w:t>。</w:t>
      </w:r>
    </w:p>
    <w:p>
      <w:pPr>
        <w:pStyle w:val="12"/>
        <w:numPr>
          <w:ilvl w:val="0"/>
          <w:numId w:val="16"/>
        </w:numPr>
        <w:ind w:firstLineChars="0"/>
        <w:rPr>
          <w:rFonts w:ascii="楷体" w:hAnsi="楷体" w:eastAsia="楷体"/>
          <w:b/>
          <w:szCs w:val="21"/>
        </w:rPr>
      </w:pPr>
      <w:r>
        <w:rPr>
          <w:rFonts w:hint="eastAsia" w:ascii="楷体" w:hAnsi="楷体" w:eastAsia="楷体"/>
          <w:b/>
          <w:szCs w:val="21"/>
        </w:rPr>
        <w:t>其它</w:t>
      </w:r>
    </w:p>
    <w:p>
      <w:pPr>
        <w:pStyle w:val="18"/>
        <w:numPr>
          <w:ilvl w:val="0"/>
          <w:numId w:val="19"/>
        </w:numPr>
        <w:ind w:firstLineChars="0"/>
        <w:rPr>
          <w:rFonts w:ascii="楷体" w:hAnsi="楷体" w:eastAsia="楷体"/>
          <w:b/>
          <w:szCs w:val="21"/>
        </w:rPr>
      </w:pPr>
      <w:r>
        <w:rPr>
          <w:rFonts w:hint="eastAsia" w:ascii="楷体" w:hAnsi="楷体" w:eastAsia="楷体"/>
          <w:szCs w:val="21"/>
        </w:rPr>
        <w:t>本条款适用于甲乙双方的任何商业合作项目。</w:t>
      </w:r>
    </w:p>
    <w:p>
      <w:pPr>
        <w:pStyle w:val="18"/>
        <w:numPr>
          <w:ilvl w:val="0"/>
          <w:numId w:val="19"/>
        </w:numPr>
        <w:ind w:firstLineChars="0"/>
        <w:rPr>
          <w:rFonts w:ascii="楷体" w:hAnsi="楷体" w:eastAsia="楷体"/>
          <w:szCs w:val="21"/>
        </w:rPr>
      </w:pPr>
      <w:r>
        <w:rPr>
          <w:rFonts w:hint="eastAsia" w:ascii="楷体" w:hAnsi="楷体" w:eastAsia="楷体"/>
          <w:szCs w:val="21"/>
        </w:rPr>
        <w:t>本条款自甲乙签署本协议之日起生效，至甲乙双方的任何商业项目合作协议终止之日起失效，如有多个商业项目合作协议，以最后终止的为准。</w:t>
      </w:r>
    </w:p>
    <w:p>
      <w:pPr>
        <w:rPr>
          <w:rFonts w:ascii="楷体" w:hAnsi="楷体" w:eastAsia="楷体"/>
          <w:b/>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协议终止</w:t>
      </w:r>
      <w:r>
        <w:rPr>
          <w:rFonts w:ascii="楷体" w:hAnsi="楷体" w:eastAsia="楷体"/>
          <w:b/>
          <w:szCs w:val="21"/>
        </w:rPr>
        <w:t>和解除</w:t>
      </w:r>
    </w:p>
    <w:p>
      <w:pPr>
        <w:pStyle w:val="12"/>
        <w:numPr>
          <w:ilvl w:val="0"/>
          <w:numId w:val="20"/>
        </w:numPr>
        <w:ind w:firstLineChars="0"/>
        <w:rPr>
          <w:rFonts w:ascii="楷体" w:hAnsi="楷体" w:eastAsia="楷体"/>
          <w:szCs w:val="21"/>
        </w:rPr>
      </w:pPr>
      <w:r>
        <w:rPr>
          <w:rFonts w:hint="eastAsia" w:ascii="楷体" w:hAnsi="楷体" w:eastAsia="楷体"/>
          <w:szCs w:val="21"/>
        </w:rPr>
        <w:t>除</w:t>
      </w:r>
      <w:r>
        <w:rPr>
          <w:rFonts w:ascii="楷体" w:hAnsi="楷体" w:eastAsia="楷体"/>
          <w:szCs w:val="21"/>
        </w:rPr>
        <w:t>本协议另有约定外，</w:t>
      </w:r>
      <w:r>
        <w:rPr>
          <w:rFonts w:hint="eastAsia" w:ascii="楷体" w:hAnsi="楷体" w:eastAsia="楷体"/>
          <w:szCs w:val="21"/>
        </w:rPr>
        <w:t>在本协议有效期内，甲乙双方通过友好协商，可签署书面协议解除本协议。</w:t>
      </w:r>
    </w:p>
    <w:p>
      <w:pPr>
        <w:pStyle w:val="12"/>
        <w:numPr>
          <w:ilvl w:val="0"/>
          <w:numId w:val="20"/>
        </w:numPr>
        <w:ind w:firstLineChars="0"/>
        <w:rPr>
          <w:rFonts w:ascii="楷体" w:hAnsi="楷体" w:eastAsia="楷体"/>
          <w:szCs w:val="21"/>
        </w:rPr>
      </w:pPr>
      <w:r>
        <w:rPr>
          <w:rFonts w:hint="eastAsia" w:ascii="楷体" w:hAnsi="楷体" w:eastAsia="楷体"/>
          <w:szCs w:val="21"/>
        </w:rPr>
        <w:t>双方于本协议终止后停止进行新的业务，但并不因此停止对于已经发生的业务的合作，也不导致对已经发生之业务的后续监管要求的配合，例如调单、</w:t>
      </w:r>
      <w:r>
        <w:rPr>
          <w:rFonts w:ascii="楷体" w:hAnsi="楷体" w:eastAsia="楷体"/>
          <w:szCs w:val="21"/>
        </w:rPr>
        <w:t>拒付</w:t>
      </w:r>
      <w:r>
        <w:rPr>
          <w:rFonts w:hint="eastAsia" w:ascii="楷体" w:hAnsi="楷体" w:eastAsia="楷体"/>
          <w:szCs w:val="21"/>
        </w:rPr>
        <w:t>等发生</w:t>
      </w:r>
      <w:r>
        <w:rPr>
          <w:rFonts w:ascii="楷体" w:hAnsi="楷体" w:eastAsia="楷体"/>
          <w:szCs w:val="21"/>
        </w:rPr>
        <w:t>在</w:t>
      </w:r>
      <w:r>
        <w:rPr>
          <w:rFonts w:hint="eastAsia" w:ascii="楷体" w:hAnsi="楷体" w:eastAsia="楷体"/>
          <w:szCs w:val="21"/>
        </w:rPr>
        <w:t>协议</w:t>
      </w:r>
      <w:r>
        <w:rPr>
          <w:rFonts w:ascii="楷体" w:hAnsi="楷体" w:eastAsia="楷体"/>
          <w:szCs w:val="21"/>
        </w:rPr>
        <w:t>有效期间的业务中的异常交易</w:t>
      </w:r>
      <w:r>
        <w:rPr>
          <w:rFonts w:hint="eastAsia" w:ascii="楷体" w:hAnsi="楷体" w:eastAsia="楷体"/>
          <w:szCs w:val="21"/>
        </w:rPr>
        <w:t>，</w:t>
      </w:r>
      <w:r>
        <w:rPr>
          <w:rFonts w:ascii="楷体" w:hAnsi="楷体" w:eastAsia="楷体"/>
          <w:szCs w:val="21"/>
        </w:rPr>
        <w:t>相关义务的履行</w:t>
      </w:r>
      <w:r>
        <w:rPr>
          <w:rFonts w:hint="eastAsia" w:ascii="楷体" w:hAnsi="楷体" w:eastAsia="楷体"/>
          <w:szCs w:val="21"/>
        </w:rPr>
        <w:t>。双方对于本协议终止日前发生的综合支付服务，仍然按照本协议约定的义务内容执行。</w:t>
      </w:r>
    </w:p>
    <w:p>
      <w:pPr>
        <w:pStyle w:val="12"/>
        <w:numPr>
          <w:ilvl w:val="0"/>
          <w:numId w:val="20"/>
        </w:numPr>
        <w:ind w:firstLineChars="0"/>
        <w:rPr>
          <w:rFonts w:ascii="楷体" w:hAnsi="楷体" w:eastAsia="楷体"/>
          <w:szCs w:val="21"/>
        </w:rPr>
      </w:pPr>
      <w:r>
        <w:rPr>
          <w:rFonts w:hint="eastAsia" w:ascii="楷体" w:hAnsi="楷体" w:eastAsia="楷体"/>
          <w:szCs w:val="21"/>
        </w:rPr>
        <w:t>甲方违反国家法律、法规、金融监管规定的或本协议下合作模式后继立法、监管规定影响无法继续开展的，乙方有权终止协议且不视为违约。</w:t>
      </w:r>
    </w:p>
    <w:p>
      <w:pPr>
        <w:rPr>
          <w:rFonts w:ascii="楷体" w:hAnsi="楷体" w:eastAsia="楷体"/>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违约</w:t>
      </w:r>
      <w:r>
        <w:rPr>
          <w:rFonts w:ascii="楷体" w:hAnsi="楷体" w:eastAsia="楷体"/>
          <w:b/>
          <w:szCs w:val="21"/>
        </w:rPr>
        <w:t>责任</w:t>
      </w:r>
    </w:p>
    <w:p>
      <w:pPr>
        <w:pStyle w:val="12"/>
        <w:numPr>
          <w:ilvl w:val="0"/>
          <w:numId w:val="21"/>
        </w:numPr>
        <w:ind w:firstLineChars="0"/>
        <w:rPr>
          <w:rFonts w:ascii="楷体" w:hAnsi="楷体" w:eastAsia="楷体"/>
          <w:szCs w:val="21"/>
        </w:rPr>
      </w:pPr>
      <w:r>
        <w:rPr>
          <w:rFonts w:hint="eastAsia" w:ascii="楷体" w:hAnsi="楷体" w:eastAsia="楷体"/>
          <w:szCs w:val="21"/>
        </w:rPr>
        <w:t>甲乙双方中的任何一方违反在本协议中所做的保证、承诺或其他条款，均构成违约，因违约而给他方造成损失的，违约方应承担赔偿责任。</w:t>
      </w:r>
    </w:p>
    <w:p>
      <w:pPr>
        <w:pStyle w:val="12"/>
        <w:numPr>
          <w:ilvl w:val="0"/>
          <w:numId w:val="21"/>
        </w:numPr>
        <w:ind w:firstLineChars="0"/>
        <w:rPr>
          <w:rFonts w:ascii="楷体" w:hAnsi="楷体" w:eastAsia="楷体"/>
          <w:szCs w:val="21"/>
        </w:rPr>
      </w:pPr>
      <w:r>
        <w:rPr>
          <w:rFonts w:hint="eastAsia" w:ascii="楷体" w:hAnsi="楷体" w:eastAsia="楷体"/>
          <w:szCs w:val="21"/>
        </w:rPr>
        <w:t>一方违约后，任何一方均应当采取适当措施防止损失的扩大，没有采取适当措施致使损失扩大的一方不得就扩大的损失要求赔偿。</w:t>
      </w:r>
    </w:p>
    <w:p>
      <w:pPr>
        <w:pStyle w:val="12"/>
        <w:numPr>
          <w:ilvl w:val="0"/>
          <w:numId w:val="21"/>
        </w:numPr>
        <w:ind w:firstLineChars="0"/>
        <w:rPr>
          <w:rFonts w:ascii="楷体" w:hAnsi="楷体" w:eastAsia="楷体"/>
          <w:szCs w:val="21"/>
        </w:rPr>
      </w:pPr>
      <w:r>
        <w:rPr>
          <w:rFonts w:hint="eastAsia" w:ascii="楷体" w:hAnsi="楷体" w:eastAsia="楷体"/>
          <w:szCs w:val="21"/>
        </w:rPr>
        <w:t>若甲方违反反商业贿赂条款约定，乙方将采取包括但不限于以下措施：</w:t>
      </w:r>
    </w:p>
    <w:p>
      <w:pPr>
        <w:pStyle w:val="12"/>
        <w:numPr>
          <w:ilvl w:val="0"/>
          <w:numId w:val="22"/>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乙方有权停止与甲方的一切合作且不被视为是违约行为，乙方有权对甲方采取诸如冻结所有应付账款的措施，并扣留协议总价款的30%但不低于人民币1万元的金额作为甲方的违约金（已经预付或款项不足的，可以向甲方追索），或向法院诉请甲方赔偿乙方的一切名誉及商业损失。</w:t>
      </w:r>
    </w:p>
    <w:p>
      <w:pPr>
        <w:pStyle w:val="12"/>
        <w:numPr>
          <w:ilvl w:val="0"/>
          <w:numId w:val="22"/>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乙方法务内审部将在乙方内部公布此等违约方名录，在不少于</w:t>
      </w:r>
      <w:r>
        <w:rPr>
          <w:rFonts w:ascii="楷体_GB2312" w:hAnsi="Times New Roman" w:eastAsia="楷体_GB2312" w:cs="Times New Roman"/>
          <w:szCs w:val="21"/>
        </w:rPr>
        <w:t>5</w:t>
      </w:r>
      <w:r>
        <w:rPr>
          <w:rFonts w:hint="eastAsia" w:ascii="楷体_GB2312" w:hAnsi="Times New Roman" w:eastAsia="楷体_GB2312" w:cs="Times New Roman"/>
          <w:szCs w:val="21"/>
        </w:rPr>
        <w:t>年的时间内，名录中的单位将不再允许与乙方及其关联公司进行任何形式的业务合作。</w:t>
      </w:r>
    </w:p>
    <w:p>
      <w:pPr>
        <w:rPr>
          <w:rFonts w:ascii="楷体" w:hAnsi="楷体" w:eastAsia="楷体"/>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免责条款</w:t>
      </w:r>
      <w:r>
        <w:rPr>
          <w:rFonts w:ascii="楷体" w:hAnsi="楷体" w:eastAsia="楷体"/>
          <w:b/>
          <w:szCs w:val="21"/>
        </w:rPr>
        <w:t>及</w:t>
      </w:r>
      <w:r>
        <w:rPr>
          <w:rFonts w:hint="eastAsia" w:ascii="楷体" w:hAnsi="楷体" w:eastAsia="楷体"/>
          <w:b/>
          <w:szCs w:val="21"/>
        </w:rPr>
        <w:t>后继立法</w:t>
      </w:r>
    </w:p>
    <w:p>
      <w:pPr>
        <w:pStyle w:val="12"/>
        <w:numPr>
          <w:ilvl w:val="0"/>
          <w:numId w:val="23"/>
        </w:numPr>
        <w:ind w:firstLineChars="0"/>
        <w:rPr>
          <w:rFonts w:ascii="楷体" w:hAnsi="楷体" w:eastAsia="楷体"/>
          <w:szCs w:val="21"/>
        </w:rPr>
      </w:pPr>
      <w:r>
        <w:rPr>
          <w:rFonts w:hint="eastAsia" w:ascii="楷体" w:hAnsi="楷体" w:eastAsia="楷体"/>
          <w:szCs w:val="21"/>
        </w:rPr>
        <w:t>任何一方或双方由于战争及自然灾害、政府行为等不可抗力因素，或法律法规变更、</w:t>
      </w:r>
      <w:r>
        <w:rPr>
          <w:rFonts w:ascii="楷体" w:hAnsi="楷体" w:eastAsia="楷体"/>
          <w:szCs w:val="21"/>
        </w:rPr>
        <w:t>银行、电信运营商系统故障、调整升级，或电力中断，或现有技术能力无法防御的黑客攻击、技术故障等原因造成</w:t>
      </w:r>
      <w:r>
        <w:rPr>
          <w:rFonts w:hint="eastAsia" w:ascii="楷体" w:hAnsi="楷体" w:eastAsia="楷体"/>
          <w:szCs w:val="21"/>
        </w:rPr>
        <w:t>乙方</w:t>
      </w:r>
      <w:r>
        <w:rPr>
          <w:rFonts w:ascii="楷体" w:hAnsi="楷体" w:eastAsia="楷体"/>
          <w:szCs w:val="21"/>
        </w:rPr>
        <w:t>支付服务系统无法正常运作</w:t>
      </w:r>
      <w:r>
        <w:rPr>
          <w:rFonts w:hint="eastAsia" w:ascii="楷体" w:hAnsi="楷体" w:eastAsia="楷体"/>
          <w:szCs w:val="21"/>
        </w:rPr>
        <w:t>和其他不能预见、不可避免及不能克服的事件导致无法如约履行本协议的，受事件影响的一方或双方可以免除违约责任。</w:t>
      </w:r>
    </w:p>
    <w:p>
      <w:pPr>
        <w:pStyle w:val="12"/>
        <w:numPr>
          <w:ilvl w:val="0"/>
          <w:numId w:val="23"/>
        </w:numPr>
        <w:ind w:firstLineChars="0"/>
        <w:rPr>
          <w:rFonts w:ascii="楷体" w:hAnsi="楷体" w:eastAsia="楷体"/>
          <w:szCs w:val="21"/>
        </w:rPr>
      </w:pPr>
      <w:r>
        <w:rPr>
          <w:rFonts w:hint="eastAsia" w:ascii="楷体" w:hAnsi="楷体" w:eastAsia="楷体"/>
          <w:szCs w:val="21"/>
        </w:rPr>
        <w:t>因国家后继立法或法律规定变更与本协议不一致时，双方可根据国家后继立法或法律规定对本协议进行修改或补充。</w:t>
      </w:r>
    </w:p>
    <w:p>
      <w:pPr>
        <w:rPr>
          <w:rFonts w:ascii="楷体" w:hAnsi="楷体" w:eastAsia="楷体"/>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适用</w:t>
      </w:r>
      <w:r>
        <w:rPr>
          <w:rFonts w:ascii="楷体" w:hAnsi="楷体" w:eastAsia="楷体"/>
          <w:b/>
          <w:szCs w:val="21"/>
        </w:rPr>
        <w:t>法律及争议解决</w:t>
      </w:r>
    </w:p>
    <w:p>
      <w:pPr>
        <w:pStyle w:val="12"/>
        <w:numPr>
          <w:ilvl w:val="0"/>
          <w:numId w:val="24"/>
        </w:numPr>
        <w:ind w:firstLineChars="0"/>
        <w:rPr>
          <w:rFonts w:ascii="楷体" w:hAnsi="楷体" w:eastAsia="楷体"/>
          <w:szCs w:val="21"/>
        </w:rPr>
      </w:pPr>
      <w:r>
        <w:rPr>
          <w:rFonts w:hint="eastAsia" w:ascii="楷体" w:hAnsi="楷体" w:eastAsia="楷体"/>
          <w:szCs w:val="21"/>
        </w:rPr>
        <w:t>本协议的解释、适用、争议解决等一切事宜，均适用中华人民共和国法律（香港特别行政区、澳门特别行政区和台湾地区的法律除外），冲突法规则除外。</w:t>
      </w:r>
    </w:p>
    <w:p>
      <w:pPr>
        <w:pStyle w:val="12"/>
        <w:numPr>
          <w:ilvl w:val="0"/>
          <w:numId w:val="24"/>
        </w:numPr>
        <w:ind w:firstLineChars="0"/>
        <w:rPr>
          <w:rFonts w:ascii="楷体" w:hAnsi="楷体" w:eastAsia="楷体"/>
          <w:szCs w:val="21"/>
        </w:rPr>
      </w:pPr>
      <w:r>
        <w:rPr>
          <w:rFonts w:hint="eastAsia" w:ascii="楷体" w:hAnsi="楷体" w:eastAsia="楷体"/>
          <w:szCs w:val="21"/>
        </w:rPr>
        <w:t>因本协议产生任何纠纷时，各方应友好协商，协商不成的，各方应将争议提交乙方住所地有管辖权的人民法院诉讼解决。</w:t>
      </w:r>
    </w:p>
    <w:p>
      <w:pPr>
        <w:rPr>
          <w:rFonts w:ascii="楷体" w:hAnsi="楷体" w:eastAsia="楷体"/>
          <w:szCs w:val="21"/>
        </w:rPr>
      </w:pPr>
    </w:p>
    <w:p>
      <w:pPr>
        <w:pStyle w:val="12"/>
        <w:numPr>
          <w:ilvl w:val="0"/>
          <w:numId w:val="5"/>
        </w:numPr>
        <w:ind w:firstLineChars="0"/>
        <w:rPr>
          <w:rFonts w:ascii="楷体" w:hAnsi="楷体" w:eastAsia="楷体"/>
          <w:b/>
          <w:szCs w:val="21"/>
        </w:rPr>
      </w:pPr>
      <w:r>
        <w:rPr>
          <w:rFonts w:ascii="楷体" w:hAnsi="楷体" w:eastAsia="楷体"/>
          <w:b/>
          <w:szCs w:val="21"/>
        </w:rPr>
        <w:t>其他</w:t>
      </w:r>
      <w:r>
        <w:rPr>
          <w:rFonts w:hint="eastAsia" w:ascii="楷体" w:hAnsi="楷体" w:eastAsia="楷体"/>
          <w:b/>
          <w:szCs w:val="21"/>
        </w:rPr>
        <w:t>条款</w:t>
      </w:r>
    </w:p>
    <w:p>
      <w:pPr>
        <w:pStyle w:val="12"/>
        <w:numPr>
          <w:ilvl w:val="0"/>
          <w:numId w:val="25"/>
        </w:numPr>
        <w:ind w:firstLineChars="0"/>
        <w:rPr>
          <w:rFonts w:ascii="楷体" w:hAnsi="楷体" w:eastAsia="楷体"/>
          <w:szCs w:val="21"/>
        </w:rPr>
      </w:pPr>
      <w:r>
        <w:rPr>
          <w:rFonts w:hint="eastAsia" w:ascii="楷体" w:hAnsi="楷体" w:eastAsia="楷体"/>
          <w:szCs w:val="21"/>
        </w:rPr>
        <w:t>按照本协议须向一方送达的任何文件或通知，应按照本协议首页所约定的办公地址发送。如以邮件（包括但不限于挂号邮件方式）方式发送该等文件或通告，则于寄出后第五个工作日被视为已送达收件人。如以快递的方式发送该等文件或通告，且收发方在同一城市的，则于投送快递第二个工作日被视为已送达收件人，但收发方在不同国家或不同城市，则于投送快递后第五个工作日将被视为已送达收件人；如以传真的方式发送该等文件或通告，则发送传真的当日被视为已送达收件人。</w:t>
      </w:r>
    </w:p>
    <w:p>
      <w:pPr>
        <w:pStyle w:val="12"/>
        <w:numPr>
          <w:ilvl w:val="0"/>
          <w:numId w:val="25"/>
        </w:numPr>
        <w:ind w:firstLineChars="0"/>
        <w:rPr>
          <w:rFonts w:ascii="楷体" w:hAnsi="楷体" w:eastAsia="楷体"/>
          <w:szCs w:val="21"/>
        </w:rPr>
      </w:pPr>
      <w:r>
        <w:rPr>
          <w:rFonts w:hint="eastAsia" w:ascii="楷体" w:hAnsi="楷体" w:eastAsia="楷体"/>
          <w:szCs w:val="21"/>
        </w:rPr>
        <w:t>如双方于本协议生效前签订过任何同类协议的，自本协议生效之日起，以往签订的同类协议终止。如本协议的约定与双方以往签署的任何同类协议相冲突或相覆盖的，以本协议为准。</w:t>
      </w:r>
    </w:p>
    <w:p>
      <w:pPr>
        <w:pStyle w:val="12"/>
        <w:numPr>
          <w:ilvl w:val="0"/>
          <w:numId w:val="25"/>
        </w:numPr>
        <w:ind w:firstLineChars="0"/>
        <w:rPr>
          <w:rFonts w:ascii="楷体" w:hAnsi="楷体" w:eastAsia="楷体"/>
          <w:szCs w:val="21"/>
        </w:rPr>
      </w:pPr>
      <w:r>
        <w:rPr>
          <w:rFonts w:hint="eastAsia" w:ascii="楷体" w:hAnsi="楷体" w:eastAsia="楷体"/>
          <w:szCs w:val="21"/>
        </w:rPr>
        <w:t>本协议壹式贰份，甲乙双方各执壹份，每份具有同等法律效力。</w:t>
      </w:r>
    </w:p>
    <w:p>
      <w:pPr>
        <w:rPr>
          <w:rFonts w:ascii="楷体" w:hAnsi="楷体" w:eastAsia="楷体"/>
          <w:szCs w:val="21"/>
        </w:rPr>
      </w:pPr>
    </w:p>
    <w:p>
      <w:pPr>
        <w:pStyle w:val="12"/>
        <w:numPr>
          <w:ilvl w:val="0"/>
          <w:numId w:val="2"/>
        </w:numPr>
        <w:ind w:firstLineChars="0"/>
        <w:jc w:val="center"/>
        <w:rPr>
          <w:rFonts w:ascii="楷体" w:hAnsi="楷体" w:eastAsia="楷体"/>
          <w:b/>
          <w:bCs/>
          <w:szCs w:val="21"/>
        </w:rPr>
      </w:pPr>
      <w:r>
        <w:rPr>
          <w:rFonts w:hint="eastAsia" w:ascii="楷体" w:hAnsi="楷体" w:eastAsia="楷体"/>
          <w:b/>
          <w:bCs/>
          <w:szCs w:val="21"/>
        </w:rPr>
        <w:t>产品细则</w:t>
      </w:r>
    </w:p>
    <w:p>
      <w:pPr>
        <w:pStyle w:val="12"/>
        <w:numPr>
          <w:ilvl w:val="0"/>
          <w:numId w:val="26"/>
        </w:numPr>
        <w:ind w:firstLineChars="0"/>
        <w:rPr>
          <w:rFonts w:ascii="楷体" w:hAnsi="楷体" w:eastAsia="楷体"/>
          <w:b/>
          <w:szCs w:val="21"/>
        </w:rPr>
      </w:pPr>
      <w:r>
        <w:rPr>
          <w:rFonts w:hint="eastAsia" w:ascii="楷体" w:hAnsi="楷体" w:eastAsia="楷体"/>
          <w:b/>
          <w:szCs w:val="21"/>
        </w:rPr>
        <w:t>银行卡</w:t>
      </w:r>
      <w:r>
        <w:rPr>
          <w:rFonts w:ascii="楷体" w:hAnsi="楷体" w:eastAsia="楷体"/>
          <w:b/>
          <w:szCs w:val="21"/>
        </w:rPr>
        <w:t>收单</w:t>
      </w:r>
      <w:r>
        <w:rPr>
          <w:rFonts w:hint="eastAsia" w:ascii="楷体" w:hAnsi="楷体" w:eastAsia="楷体"/>
          <w:b/>
          <w:szCs w:val="21"/>
        </w:rPr>
        <w:t>产品</w:t>
      </w:r>
    </w:p>
    <w:p>
      <w:pPr>
        <w:pStyle w:val="12"/>
        <w:numPr>
          <w:ilvl w:val="0"/>
          <w:numId w:val="27"/>
        </w:numPr>
        <w:ind w:firstLineChars="0"/>
        <w:rPr>
          <w:rFonts w:ascii="楷体" w:hAnsi="楷体" w:eastAsia="楷体"/>
          <w:b/>
          <w:szCs w:val="21"/>
        </w:rPr>
      </w:pPr>
      <w:r>
        <w:rPr>
          <w:rFonts w:hint="eastAsia" w:ascii="楷体" w:hAnsi="楷体" w:eastAsia="楷体"/>
          <w:b/>
          <w:szCs w:val="21"/>
        </w:rPr>
        <w:t>银行卡</w:t>
      </w:r>
      <w:r>
        <w:rPr>
          <w:rFonts w:ascii="楷体" w:hAnsi="楷体" w:eastAsia="楷体"/>
          <w:b/>
          <w:szCs w:val="21"/>
        </w:rPr>
        <w:t>支付</w:t>
      </w:r>
    </w:p>
    <w:p>
      <w:pPr>
        <w:pStyle w:val="12"/>
        <w:numPr>
          <w:ilvl w:val="0"/>
          <w:numId w:val="28"/>
        </w:numPr>
        <w:ind w:firstLineChars="0"/>
        <w:rPr>
          <w:rFonts w:ascii="楷体" w:hAnsi="楷体" w:eastAsia="楷体"/>
          <w:b/>
          <w:szCs w:val="21"/>
        </w:rPr>
      </w:pPr>
      <w:r>
        <w:rPr>
          <w:rFonts w:hint="eastAsia" w:ascii="楷体" w:hAnsi="楷体" w:eastAsia="楷体"/>
          <w:szCs w:val="21"/>
        </w:rPr>
        <w:t>甲方应积极配合乙方在其营业场所指定收银台粘贴或摆放银行卡或</w:t>
      </w:r>
      <w:r>
        <w:rPr>
          <w:rFonts w:ascii="楷体" w:hAnsi="楷体" w:eastAsia="楷体"/>
          <w:szCs w:val="21"/>
        </w:rPr>
        <w:t>条码支付</w:t>
      </w:r>
      <w:r>
        <w:rPr>
          <w:rFonts w:hint="eastAsia" w:ascii="楷体" w:hAnsi="楷体" w:eastAsia="楷体"/>
          <w:szCs w:val="21"/>
        </w:rPr>
        <w:t>受理标识，不得将该受理标识用于其他任何用途。</w:t>
      </w:r>
    </w:p>
    <w:p>
      <w:pPr>
        <w:pStyle w:val="12"/>
        <w:numPr>
          <w:ilvl w:val="0"/>
          <w:numId w:val="28"/>
        </w:numPr>
        <w:ind w:firstLineChars="0"/>
        <w:rPr>
          <w:rFonts w:ascii="楷体" w:hAnsi="楷体" w:eastAsia="楷体"/>
          <w:b/>
          <w:szCs w:val="21"/>
        </w:rPr>
      </w:pPr>
      <w:r>
        <w:rPr>
          <w:rFonts w:hint="eastAsia" w:ascii="楷体" w:hAnsi="楷体" w:eastAsia="楷体"/>
          <w:szCs w:val="21"/>
        </w:rPr>
        <w:t>持卡人提出符合交易规定的刷卡消费要求，甲方不得拒绝。持卡人使用银行卡支付应被视同现金支付。</w:t>
      </w:r>
    </w:p>
    <w:p>
      <w:pPr>
        <w:pStyle w:val="12"/>
        <w:numPr>
          <w:ilvl w:val="0"/>
          <w:numId w:val="28"/>
        </w:numPr>
        <w:ind w:firstLineChars="0"/>
        <w:rPr>
          <w:rFonts w:ascii="楷体" w:hAnsi="楷体" w:eastAsia="楷体"/>
          <w:b/>
          <w:szCs w:val="21"/>
        </w:rPr>
      </w:pPr>
      <w:r>
        <w:rPr>
          <w:rFonts w:hint="eastAsia" w:ascii="楷体" w:hAnsi="楷体" w:eastAsia="楷体"/>
          <w:b/>
          <w:szCs w:val="21"/>
        </w:rPr>
        <w:t>甲方应保证签购单上信息与商户消费凭证、银行卡等信息保持一致，并根据银行要求和交易安全的需要，妥善保管持卡人签字确认的签购单及相关凭证（包括但不限于订单、发货凭证及乙方要求的其他交易资料）至少两年以上。签购单及消费凭证不得涂改，否则视为无效单据。如因甲方保管不当或遗失造成的经济损失由甲方承担。</w:t>
      </w:r>
    </w:p>
    <w:p>
      <w:pPr>
        <w:pStyle w:val="12"/>
        <w:numPr>
          <w:ilvl w:val="0"/>
          <w:numId w:val="28"/>
        </w:numPr>
        <w:ind w:firstLineChars="0"/>
        <w:rPr>
          <w:rFonts w:ascii="楷体" w:hAnsi="楷体" w:eastAsia="楷体"/>
          <w:szCs w:val="21"/>
        </w:rPr>
      </w:pPr>
      <w:r>
        <w:rPr>
          <w:rFonts w:hint="eastAsia" w:ascii="楷体" w:hAnsi="楷体" w:eastAsia="楷体"/>
          <w:szCs w:val="21"/>
        </w:rPr>
        <w:t>若发卡行或乙方要求甲方必须在相关方履行相关义务后（例如签订书面分期付款协议等）才能提供商品或服务的，甲方必须按照发卡行或乙方要求进行操作。如甲方违反此规定造成乙方或发卡行行损失的，甲方须承担赔偿责任。</w:t>
      </w:r>
    </w:p>
    <w:p>
      <w:pPr>
        <w:pStyle w:val="12"/>
        <w:numPr>
          <w:ilvl w:val="0"/>
          <w:numId w:val="28"/>
        </w:numPr>
        <w:ind w:firstLineChars="0"/>
        <w:rPr>
          <w:rFonts w:ascii="楷体" w:hAnsi="楷体" w:eastAsia="楷体"/>
          <w:b/>
          <w:szCs w:val="21"/>
        </w:rPr>
      </w:pPr>
      <w:r>
        <w:rPr>
          <w:rFonts w:hint="eastAsia" w:ascii="楷体" w:hAnsi="楷体" w:eastAsia="楷体"/>
          <w:b/>
          <w:szCs w:val="21"/>
        </w:rPr>
        <w:t>甲方应遵循银联</w:t>
      </w:r>
      <w:r>
        <w:rPr>
          <w:rFonts w:ascii="楷体" w:hAnsi="楷体" w:eastAsia="楷体"/>
          <w:b/>
          <w:szCs w:val="21"/>
        </w:rPr>
        <w:t>的相关操作规范，</w:t>
      </w:r>
      <w:r>
        <w:rPr>
          <w:rFonts w:hint="eastAsia" w:ascii="楷体" w:hAnsi="楷体" w:eastAsia="楷体"/>
          <w:b/>
          <w:szCs w:val="21"/>
        </w:rPr>
        <w:t>并按照下述</w:t>
      </w:r>
      <w:r>
        <w:rPr>
          <w:rFonts w:ascii="楷体" w:hAnsi="楷体" w:eastAsia="楷体"/>
          <w:b/>
          <w:szCs w:val="21"/>
        </w:rPr>
        <w:t>《操作指南》</w:t>
      </w:r>
      <w:r>
        <w:rPr>
          <w:rFonts w:hint="eastAsia" w:ascii="楷体" w:hAnsi="楷体" w:eastAsia="楷体"/>
          <w:b/>
          <w:szCs w:val="21"/>
        </w:rPr>
        <w:t>受理</w:t>
      </w:r>
      <w:r>
        <w:rPr>
          <w:rFonts w:ascii="楷体" w:hAnsi="楷体" w:eastAsia="楷体"/>
          <w:b/>
          <w:szCs w:val="21"/>
        </w:rPr>
        <w:t>银行卡</w:t>
      </w:r>
      <w:r>
        <w:rPr>
          <w:rFonts w:hint="eastAsia" w:ascii="楷体" w:hAnsi="楷体" w:eastAsia="楷体"/>
          <w:b/>
          <w:szCs w:val="21"/>
        </w:rPr>
        <w:t>，</w:t>
      </w:r>
      <w:r>
        <w:rPr>
          <w:rFonts w:ascii="楷体" w:hAnsi="楷体" w:eastAsia="楷体"/>
          <w:b/>
          <w:szCs w:val="21"/>
        </w:rPr>
        <w:t>甲方未按操作规范受理银行卡，造成的损失由甲方</w:t>
      </w:r>
      <w:r>
        <w:rPr>
          <w:rFonts w:hint="eastAsia" w:ascii="楷体" w:hAnsi="楷体" w:eastAsia="楷体"/>
          <w:b/>
          <w:szCs w:val="21"/>
        </w:rPr>
        <w:t>自行</w:t>
      </w:r>
      <w:r>
        <w:rPr>
          <w:rFonts w:ascii="楷体" w:hAnsi="楷体" w:eastAsia="楷体"/>
          <w:b/>
          <w:szCs w:val="21"/>
        </w:rPr>
        <w:t>承担：</w:t>
      </w:r>
    </w:p>
    <w:p>
      <w:pPr>
        <w:pStyle w:val="12"/>
        <w:numPr>
          <w:ilvl w:val="0"/>
          <w:numId w:val="29"/>
        </w:numPr>
        <w:adjustRightInd w:val="0"/>
        <w:snapToGrid w:val="0"/>
        <w:ind w:firstLineChars="0"/>
        <w:rPr>
          <w:rFonts w:ascii="楷体" w:hAnsi="楷体" w:eastAsia="楷体"/>
          <w:b/>
          <w:szCs w:val="21"/>
        </w:rPr>
      </w:pPr>
      <w:r>
        <w:rPr>
          <w:rFonts w:hint="eastAsia" w:ascii="楷体" w:hAnsi="楷体" w:eastAsia="楷体"/>
          <w:b/>
          <w:szCs w:val="21"/>
        </w:rPr>
        <w:t>甲方必须确认下列情况，并按照联网受理终端机具的信息提示进行操作：</w:t>
      </w:r>
    </w:p>
    <w:p>
      <w:pPr>
        <w:pStyle w:val="12"/>
        <w:numPr>
          <w:ilvl w:val="0"/>
          <w:numId w:val="30"/>
        </w:numPr>
        <w:ind w:firstLineChars="0"/>
        <w:rPr>
          <w:rFonts w:ascii="楷体" w:hAnsi="楷体" w:eastAsia="楷体"/>
          <w:b/>
          <w:szCs w:val="21"/>
        </w:rPr>
      </w:pPr>
      <w:r>
        <w:rPr>
          <w:rFonts w:hint="eastAsia" w:ascii="楷体" w:hAnsi="楷体" w:eastAsia="楷体"/>
          <w:b/>
          <w:szCs w:val="21"/>
        </w:rPr>
        <w:t>验卡：持卡人出示的银联卡应完好无损，签名条已预留签名无涂改和伪造嫌疑；信用卡应印有真正可识别的镭射防伪标识及其信用卡特征；信用卡必须在有效期内使用。</w:t>
      </w:r>
    </w:p>
    <w:p>
      <w:pPr>
        <w:pStyle w:val="12"/>
        <w:numPr>
          <w:ilvl w:val="0"/>
          <w:numId w:val="30"/>
        </w:numPr>
        <w:ind w:firstLineChars="0"/>
        <w:rPr>
          <w:rFonts w:ascii="楷体" w:hAnsi="楷体" w:eastAsia="楷体"/>
          <w:b/>
          <w:szCs w:val="21"/>
        </w:rPr>
      </w:pPr>
      <w:r>
        <w:rPr>
          <w:rFonts w:hint="eastAsia" w:ascii="楷体" w:hAnsi="楷体" w:eastAsia="楷体"/>
          <w:b/>
          <w:szCs w:val="21"/>
        </w:rPr>
        <w:t>核对卡号：联网受理终端机具显示及签购单打印的银联卡卡号应与银联卡面卡号一致。</w:t>
      </w:r>
    </w:p>
    <w:p>
      <w:pPr>
        <w:pStyle w:val="12"/>
        <w:numPr>
          <w:ilvl w:val="0"/>
          <w:numId w:val="30"/>
        </w:numPr>
        <w:ind w:firstLineChars="0"/>
        <w:rPr>
          <w:rFonts w:ascii="楷体" w:hAnsi="楷体" w:eastAsia="楷体"/>
          <w:b/>
          <w:szCs w:val="21"/>
        </w:rPr>
      </w:pPr>
      <w:r>
        <w:rPr>
          <w:rFonts w:hint="eastAsia" w:ascii="楷体" w:hAnsi="楷体" w:eastAsia="楷体"/>
          <w:b/>
          <w:szCs w:val="21"/>
        </w:rPr>
        <w:t>核对签名：持卡人在签购单上的签名应与信用卡签名条预留的签名及持卡人姓名拼音相符。银行卡背面未预留签名的银行卡可拒绝受理。</w:t>
      </w:r>
    </w:p>
    <w:p>
      <w:pPr>
        <w:pStyle w:val="12"/>
        <w:numPr>
          <w:ilvl w:val="0"/>
          <w:numId w:val="30"/>
        </w:numPr>
        <w:ind w:firstLineChars="0"/>
        <w:rPr>
          <w:rFonts w:ascii="楷体" w:hAnsi="楷体" w:eastAsia="楷体"/>
          <w:b/>
          <w:szCs w:val="21"/>
        </w:rPr>
      </w:pPr>
      <w:r>
        <w:rPr>
          <w:rFonts w:hint="eastAsia" w:ascii="楷体" w:hAnsi="楷体" w:eastAsia="楷体"/>
          <w:b/>
          <w:szCs w:val="21"/>
        </w:rPr>
        <w:t>其他受理条件（包括密码授权、身份校验等）按照发卡银行的有关银行卡章程执行。</w:t>
      </w:r>
    </w:p>
    <w:p>
      <w:pPr>
        <w:pStyle w:val="12"/>
        <w:numPr>
          <w:ilvl w:val="0"/>
          <w:numId w:val="29"/>
        </w:numPr>
        <w:adjustRightInd w:val="0"/>
        <w:snapToGrid w:val="0"/>
        <w:ind w:firstLineChars="0"/>
        <w:rPr>
          <w:rFonts w:ascii="楷体" w:hAnsi="楷体" w:eastAsia="楷体"/>
          <w:b/>
          <w:szCs w:val="21"/>
        </w:rPr>
      </w:pPr>
      <w:r>
        <w:rPr>
          <w:rFonts w:hint="eastAsia" w:ascii="楷体" w:hAnsi="楷体" w:eastAsia="楷体"/>
          <w:b/>
          <w:szCs w:val="21"/>
        </w:rPr>
        <w:t>交易</w:t>
      </w:r>
      <w:r>
        <w:rPr>
          <w:rFonts w:ascii="楷体" w:hAnsi="楷体" w:eastAsia="楷体"/>
          <w:b/>
          <w:szCs w:val="21"/>
        </w:rPr>
        <w:t>单据：</w:t>
      </w:r>
    </w:p>
    <w:p>
      <w:pPr>
        <w:pStyle w:val="12"/>
        <w:numPr>
          <w:ilvl w:val="0"/>
          <w:numId w:val="31"/>
        </w:numPr>
        <w:ind w:firstLineChars="0"/>
        <w:rPr>
          <w:rFonts w:ascii="楷体" w:hAnsi="楷体" w:eastAsia="楷体"/>
          <w:b/>
          <w:szCs w:val="21"/>
        </w:rPr>
      </w:pPr>
      <w:r>
        <w:rPr>
          <w:rFonts w:hint="eastAsia" w:ascii="楷体" w:hAnsi="楷体" w:eastAsia="楷体"/>
          <w:b/>
          <w:szCs w:val="21"/>
        </w:rPr>
        <w:t>满足下列全部条件的交易单据，本协议视为“有效交易单据”：</w:t>
      </w:r>
    </w:p>
    <w:p>
      <w:pPr>
        <w:ind w:firstLine="422" w:firstLineChars="200"/>
        <w:rPr>
          <w:rFonts w:ascii="楷体" w:hAnsi="楷体" w:eastAsia="楷体"/>
          <w:b/>
          <w:szCs w:val="21"/>
        </w:rPr>
      </w:pPr>
      <w:r>
        <w:rPr>
          <w:rFonts w:hint="eastAsia" w:ascii="楷体" w:hAnsi="楷体" w:eastAsia="楷体"/>
          <w:b/>
          <w:szCs w:val="21"/>
        </w:rPr>
        <w:t>甲方进行的银联卡交易，应是真实的商品或服务交易，其所采用的所有单据必须向乙方提供；</w:t>
      </w:r>
    </w:p>
    <w:p>
      <w:pPr>
        <w:ind w:firstLine="422" w:firstLineChars="200"/>
        <w:rPr>
          <w:rFonts w:ascii="楷体" w:hAnsi="楷体" w:eastAsia="楷体"/>
          <w:b/>
          <w:szCs w:val="21"/>
        </w:rPr>
      </w:pPr>
      <w:r>
        <w:rPr>
          <w:rFonts w:hint="eastAsia" w:ascii="楷体" w:hAnsi="楷体" w:eastAsia="楷体"/>
          <w:b/>
          <w:szCs w:val="21"/>
        </w:rPr>
        <w:t>交易单据经持卡人亲笔签名后甲方、乙方和持卡人各留存一份。甲方将存根联从交易日起，至少保留24个月；</w:t>
      </w:r>
    </w:p>
    <w:p>
      <w:pPr>
        <w:ind w:firstLine="422" w:firstLineChars="200"/>
        <w:rPr>
          <w:rFonts w:ascii="楷体" w:hAnsi="楷体" w:eastAsia="楷体"/>
          <w:b/>
          <w:szCs w:val="21"/>
        </w:rPr>
      </w:pPr>
      <w:r>
        <w:rPr>
          <w:rFonts w:hint="eastAsia" w:ascii="楷体" w:hAnsi="楷体" w:eastAsia="楷体"/>
          <w:b/>
          <w:szCs w:val="21"/>
        </w:rPr>
        <w:t>交易单据上的任何内容均为真实的银联卡交易要素，且内容清晰不得涂改。</w:t>
      </w:r>
    </w:p>
    <w:p>
      <w:pPr>
        <w:pStyle w:val="12"/>
        <w:numPr>
          <w:ilvl w:val="0"/>
          <w:numId w:val="31"/>
        </w:numPr>
        <w:ind w:firstLineChars="0"/>
        <w:rPr>
          <w:rFonts w:ascii="楷体" w:hAnsi="楷体" w:eastAsia="楷体"/>
          <w:b/>
          <w:szCs w:val="21"/>
        </w:rPr>
      </w:pPr>
      <w:r>
        <w:rPr>
          <w:rFonts w:hint="eastAsia" w:ascii="楷体" w:hAnsi="楷体" w:eastAsia="楷体"/>
          <w:b/>
          <w:szCs w:val="21"/>
        </w:rPr>
        <w:t>对甲方提交的非“有效交易单据”的任何交易单据，均视为无效交易单据，乙方有权中止清算或追讨清算资金。</w:t>
      </w:r>
    </w:p>
    <w:p>
      <w:pPr>
        <w:pStyle w:val="12"/>
        <w:numPr>
          <w:ilvl w:val="0"/>
          <w:numId w:val="29"/>
        </w:numPr>
        <w:adjustRightInd w:val="0"/>
        <w:snapToGrid w:val="0"/>
        <w:ind w:firstLineChars="0"/>
        <w:rPr>
          <w:rFonts w:ascii="楷体" w:hAnsi="楷体" w:eastAsia="楷体"/>
          <w:b/>
          <w:szCs w:val="21"/>
        </w:rPr>
      </w:pPr>
      <w:r>
        <w:rPr>
          <w:rFonts w:hint="eastAsia" w:ascii="楷体" w:hAnsi="楷体" w:eastAsia="楷体"/>
          <w:b/>
          <w:szCs w:val="21"/>
        </w:rPr>
        <w:t>银联卡没收</w:t>
      </w:r>
      <w:r>
        <w:rPr>
          <w:rFonts w:ascii="楷体" w:hAnsi="楷体" w:eastAsia="楷体"/>
          <w:b/>
          <w:szCs w:val="21"/>
        </w:rPr>
        <w:t>处理</w:t>
      </w:r>
      <w:r>
        <w:rPr>
          <w:rFonts w:hint="eastAsia" w:ascii="楷体" w:hAnsi="楷体" w:eastAsia="楷体"/>
          <w:b/>
          <w:szCs w:val="21"/>
        </w:rPr>
        <w:t>：</w:t>
      </w:r>
    </w:p>
    <w:p>
      <w:pPr>
        <w:pStyle w:val="12"/>
        <w:numPr>
          <w:ilvl w:val="0"/>
          <w:numId w:val="32"/>
        </w:numPr>
        <w:ind w:firstLineChars="0"/>
        <w:rPr>
          <w:rFonts w:ascii="楷体" w:hAnsi="楷体" w:eastAsia="楷体"/>
          <w:b/>
          <w:szCs w:val="21"/>
        </w:rPr>
      </w:pPr>
      <w:r>
        <w:rPr>
          <w:rFonts w:hint="eastAsia" w:ascii="楷体" w:hAnsi="楷体" w:eastAsia="楷体"/>
          <w:b/>
          <w:szCs w:val="21"/>
        </w:rPr>
        <w:t>甲方受理银联卡出现下列情况时，有责任没收银联卡：</w:t>
      </w:r>
    </w:p>
    <w:p>
      <w:pPr>
        <w:ind w:firstLine="422" w:firstLineChars="200"/>
        <w:rPr>
          <w:rFonts w:ascii="楷体" w:hAnsi="楷体" w:eastAsia="楷体"/>
          <w:b/>
          <w:szCs w:val="21"/>
        </w:rPr>
      </w:pPr>
      <w:r>
        <w:rPr>
          <w:rFonts w:hint="eastAsia" w:ascii="楷体" w:hAnsi="楷体" w:eastAsia="楷体"/>
          <w:b/>
          <w:szCs w:val="21"/>
        </w:rPr>
        <w:t>i联网受理终端显示为应没收的银联卡；</w:t>
      </w:r>
    </w:p>
    <w:p>
      <w:pPr>
        <w:ind w:firstLine="422" w:firstLineChars="200"/>
        <w:rPr>
          <w:rFonts w:ascii="楷体" w:hAnsi="楷体" w:eastAsia="楷体"/>
          <w:b/>
          <w:szCs w:val="21"/>
        </w:rPr>
      </w:pPr>
      <w:r>
        <w:rPr>
          <w:rFonts w:hint="eastAsia" w:ascii="楷体" w:hAnsi="楷体" w:eastAsia="楷体"/>
          <w:b/>
          <w:szCs w:val="21"/>
        </w:rPr>
        <w:t>ii止付名单或乙方及入网成员机构向甲方指示（如申请授权时）必须收回的银联卡。</w:t>
      </w:r>
    </w:p>
    <w:p>
      <w:pPr>
        <w:pStyle w:val="12"/>
        <w:numPr>
          <w:ilvl w:val="0"/>
          <w:numId w:val="32"/>
        </w:numPr>
        <w:ind w:firstLineChars="0"/>
        <w:rPr>
          <w:rFonts w:ascii="楷体" w:hAnsi="楷体" w:eastAsia="楷体"/>
          <w:b/>
          <w:szCs w:val="21"/>
        </w:rPr>
      </w:pPr>
      <w:r>
        <w:rPr>
          <w:rFonts w:hint="eastAsia" w:ascii="楷体" w:hAnsi="楷体" w:eastAsia="楷体"/>
          <w:b/>
          <w:szCs w:val="21"/>
        </w:rPr>
        <w:t>银联卡已经没收，甲方必须当持卡人面立即将其明显地剪去一角，破坏磁条，并在没收次日起3个工作日内通知乙方处理。</w:t>
      </w:r>
    </w:p>
    <w:p>
      <w:pPr>
        <w:pStyle w:val="12"/>
        <w:numPr>
          <w:ilvl w:val="0"/>
          <w:numId w:val="27"/>
        </w:numPr>
        <w:ind w:firstLineChars="0"/>
        <w:rPr>
          <w:rFonts w:ascii="楷体" w:hAnsi="楷体" w:eastAsia="楷体"/>
          <w:b/>
          <w:szCs w:val="21"/>
        </w:rPr>
      </w:pPr>
      <w:r>
        <w:rPr>
          <w:rFonts w:hint="eastAsia" w:ascii="楷体" w:hAnsi="楷体" w:eastAsia="楷体"/>
          <w:b/>
          <w:szCs w:val="21"/>
        </w:rPr>
        <w:t>条码</w:t>
      </w:r>
      <w:r>
        <w:rPr>
          <w:rFonts w:ascii="楷体" w:hAnsi="楷体" w:eastAsia="楷体"/>
          <w:b/>
          <w:szCs w:val="21"/>
        </w:rPr>
        <w:t>支付</w:t>
      </w:r>
    </w:p>
    <w:p>
      <w:pPr>
        <w:pStyle w:val="12"/>
        <w:numPr>
          <w:ilvl w:val="0"/>
          <w:numId w:val="33"/>
        </w:numPr>
        <w:ind w:firstLineChars="0"/>
        <w:rPr>
          <w:rFonts w:ascii="楷体" w:hAnsi="楷体" w:eastAsia="楷体"/>
          <w:szCs w:val="21"/>
        </w:rPr>
      </w:pPr>
      <w:r>
        <w:rPr>
          <w:rFonts w:hint="eastAsia" w:ascii="楷体" w:hAnsi="楷体" w:eastAsia="楷体"/>
          <w:szCs w:val="21"/>
        </w:rPr>
        <w:t>条码</w:t>
      </w:r>
      <w:r>
        <w:rPr>
          <w:rFonts w:ascii="楷体" w:hAnsi="楷体" w:eastAsia="楷体"/>
          <w:szCs w:val="21"/>
        </w:rPr>
        <w:t>支付产品内嵌于</w:t>
      </w:r>
      <w:r>
        <w:rPr>
          <w:rFonts w:hint="eastAsia" w:ascii="楷体" w:hAnsi="楷体" w:eastAsia="楷体"/>
          <w:szCs w:val="21"/>
        </w:rPr>
        <w:t>甲方</w:t>
      </w:r>
      <w:r>
        <w:rPr>
          <w:rFonts w:ascii="楷体" w:hAnsi="楷体" w:eastAsia="楷体"/>
          <w:szCs w:val="21"/>
        </w:rPr>
        <w:t>银行卡收单产品中</w:t>
      </w:r>
      <w:r>
        <w:rPr>
          <w:rFonts w:hint="eastAsia" w:ascii="楷体" w:hAnsi="楷体" w:eastAsia="楷体"/>
          <w:szCs w:val="21"/>
        </w:rPr>
        <w:t>，</w:t>
      </w:r>
      <w:r>
        <w:rPr>
          <w:rFonts w:ascii="楷体" w:hAnsi="楷体" w:eastAsia="楷体"/>
          <w:szCs w:val="21"/>
        </w:rPr>
        <w:t>包括</w:t>
      </w:r>
      <w:r>
        <w:rPr>
          <w:rFonts w:hint="eastAsia" w:ascii="楷体" w:hAnsi="楷体" w:eastAsia="楷体"/>
          <w:szCs w:val="21"/>
        </w:rPr>
        <w:t>付款</w:t>
      </w:r>
      <w:r>
        <w:rPr>
          <w:rFonts w:ascii="楷体" w:hAnsi="楷体" w:eastAsia="楷体"/>
          <w:szCs w:val="21"/>
        </w:rPr>
        <w:t>扫码：付款人通过</w:t>
      </w:r>
      <w:r>
        <w:rPr>
          <w:rFonts w:hint="eastAsia" w:ascii="楷体" w:hAnsi="楷体" w:eastAsia="楷体"/>
          <w:szCs w:val="21"/>
        </w:rPr>
        <w:t>移动</w:t>
      </w:r>
      <w:r>
        <w:rPr>
          <w:rFonts w:ascii="楷体" w:hAnsi="楷体" w:eastAsia="楷体"/>
          <w:szCs w:val="21"/>
        </w:rPr>
        <w:t>终端识读收款人展示的条码完成支付的行为</w:t>
      </w:r>
      <w:r>
        <w:rPr>
          <w:rFonts w:hint="eastAsia" w:ascii="楷体" w:hAnsi="楷体" w:eastAsia="楷体"/>
          <w:szCs w:val="21"/>
        </w:rPr>
        <w:t>；</w:t>
      </w:r>
      <w:r>
        <w:rPr>
          <w:rFonts w:ascii="楷体" w:hAnsi="楷体" w:eastAsia="楷体"/>
          <w:szCs w:val="21"/>
        </w:rPr>
        <w:t>收款扫码</w:t>
      </w:r>
      <w:r>
        <w:rPr>
          <w:rFonts w:hint="eastAsia" w:ascii="楷体" w:hAnsi="楷体" w:eastAsia="楷体"/>
          <w:szCs w:val="21"/>
        </w:rPr>
        <w:t>：收款人</w:t>
      </w:r>
      <w:r>
        <w:rPr>
          <w:rFonts w:ascii="楷体" w:hAnsi="楷体" w:eastAsia="楷体"/>
          <w:szCs w:val="21"/>
        </w:rPr>
        <w:t>通过识读付款人移动终端展示的条码完成支付的行为。</w:t>
      </w:r>
      <w:r>
        <w:rPr>
          <w:rFonts w:hint="eastAsia" w:ascii="楷体" w:hAnsi="楷体" w:eastAsia="楷体"/>
          <w:szCs w:val="21"/>
        </w:rPr>
        <w:t>乙方依据</w:t>
      </w:r>
      <w:r>
        <w:rPr>
          <w:rFonts w:ascii="楷体" w:hAnsi="楷体" w:eastAsia="楷体"/>
          <w:szCs w:val="21"/>
        </w:rPr>
        <w:t>甲方</w:t>
      </w:r>
      <w:r>
        <w:rPr>
          <w:rFonts w:hint="eastAsia" w:ascii="楷体" w:hAnsi="楷体" w:eastAsia="楷体"/>
          <w:szCs w:val="21"/>
        </w:rPr>
        <w:t>应用</w:t>
      </w:r>
      <w:r>
        <w:rPr>
          <w:rFonts w:ascii="楷体" w:hAnsi="楷体" w:eastAsia="楷体"/>
          <w:szCs w:val="21"/>
        </w:rPr>
        <w:t>场景的需求予以开通相应</w:t>
      </w:r>
      <w:r>
        <w:rPr>
          <w:rFonts w:hint="eastAsia" w:ascii="楷体" w:hAnsi="楷体" w:eastAsia="楷体"/>
          <w:szCs w:val="21"/>
        </w:rPr>
        <w:t>功能</w:t>
      </w:r>
      <w:r>
        <w:rPr>
          <w:rFonts w:ascii="楷体" w:hAnsi="楷体" w:eastAsia="楷体"/>
          <w:szCs w:val="21"/>
        </w:rPr>
        <w:t>。</w:t>
      </w:r>
    </w:p>
    <w:p>
      <w:pPr>
        <w:pStyle w:val="12"/>
        <w:numPr>
          <w:ilvl w:val="0"/>
          <w:numId w:val="33"/>
        </w:numPr>
        <w:ind w:firstLineChars="0"/>
        <w:rPr>
          <w:rFonts w:ascii="楷体" w:hAnsi="楷体" w:eastAsia="楷体"/>
          <w:szCs w:val="21"/>
        </w:rPr>
      </w:pPr>
      <w:r>
        <w:rPr>
          <w:rFonts w:hint="eastAsia" w:ascii="楷体" w:hAnsi="楷体" w:eastAsia="楷体"/>
          <w:szCs w:val="21"/>
        </w:rPr>
        <w:t>乙方有权依据自身</w:t>
      </w:r>
      <w:r>
        <w:rPr>
          <w:rFonts w:ascii="楷体" w:hAnsi="楷体" w:eastAsia="楷体"/>
          <w:szCs w:val="21"/>
        </w:rPr>
        <w:t>或清算机构或合作机构</w:t>
      </w:r>
      <w:r>
        <w:rPr>
          <w:rFonts w:hint="eastAsia" w:ascii="楷体" w:hAnsi="楷体" w:eastAsia="楷体"/>
          <w:szCs w:val="21"/>
        </w:rPr>
        <w:t>或</w:t>
      </w:r>
      <w:r>
        <w:rPr>
          <w:rFonts w:ascii="楷体" w:hAnsi="楷体" w:eastAsia="楷体"/>
          <w:szCs w:val="21"/>
        </w:rPr>
        <w:t>监管机构的</w:t>
      </w:r>
      <w:r>
        <w:rPr>
          <w:rFonts w:hint="eastAsia" w:ascii="楷体" w:hAnsi="楷体" w:eastAsia="楷体"/>
          <w:szCs w:val="21"/>
        </w:rPr>
        <w:t>风险控制要求，对条码支付的费率及单笔、单日限额等进行调整。</w:t>
      </w:r>
    </w:p>
    <w:p>
      <w:pPr>
        <w:pStyle w:val="12"/>
        <w:numPr>
          <w:ilvl w:val="0"/>
          <w:numId w:val="33"/>
        </w:numPr>
        <w:ind w:firstLineChars="0"/>
        <w:rPr>
          <w:rFonts w:ascii="楷体" w:hAnsi="楷体" w:eastAsia="楷体"/>
          <w:szCs w:val="21"/>
        </w:rPr>
      </w:pPr>
      <w:r>
        <w:rPr>
          <w:rFonts w:hint="eastAsia" w:ascii="楷体" w:hAnsi="楷体" w:eastAsia="楷体"/>
          <w:szCs w:val="21"/>
        </w:rPr>
        <w:t>对于发卡行或清算</w:t>
      </w:r>
      <w:r>
        <w:rPr>
          <w:rFonts w:ascii="楷体" w:hAnsi="楷体" w:eastAsia="楷体"/>
          <w:szCs w:val="21"/>
        </w:rPr>
        <w:t>机构</w:t>
      </w:r>
      <w:r>
        <w:rPr>
          <w:rFonts w:hint="eastAsia" w:ascii="楷体" w:hAnsi="楷体" w:eastAsia="楷体"/>
          <w:szCs w:val="21"/>
        </w:rPr>
        <w:t>的合理拒付（包括但不限于客户否认交易等）的交易风险和由此产生的损失由造成相关损失的责任方承担。</w:t>
      </w:r>
    </w:p>
    <w:p>
      <w:pPr>
        <w:pStyle w:val="12"/>
        <w:numPr>
          <w:ilvl w:val="0"/>
          <w:numId w:val="27"/>
        </w:numPr>
        <w:ind w:firstLineChars="0"/>
        <w:rPr>
          <w:rFonts w:ascii="楷体" w:hAnsi="楷体" w:eastAsia="楷体"/>
          <w:b/>
          <w:szCs w:val="21"/>
        </w:rPr>
      </w:pPr>
      <w:r>
        <w:rPr>
          <w:rFonts w:hint="eastAsia" w:ascii="楷体" w:hAnsi="楷体" w:eastAsia="楷体"/>
          <w:b/>
          <w:szCs w:val="21"/>
        </w:rPr>
        <w:t>花呗分期</w:t>
      </w:r>
    </w:p>
    <w:p>
      <w:pPr>
        <w:pStyle w:val="12"/>
        <w:numPr>
          <w:ilvl w:val="0"/>
          <w:numId w:val="34"/>
        </w:numPr>
        <w:ind w:firstLineChars="0"/>
        <w:rPr>
          <w:rFonts w:ascii="楷体" w:hAnsi="楷体" w:eastAsia="楷体"/>
          <w:szCs w:val="21"/>
        </w:rPr>
      </w:pPr>
      <w:r>
        <w:rPr>
          <w:rFonts w:ascii="楷体" w:hAnsi="楷体" w:eastAsia="楷体"/>
          <w:szCs w:val="21"/>
        </w:rPr>
        <w:t>花呗分期</w:t>
      </w:r>
      <w:r>
        <w:rPr>
          <w:rFonts w:hint="eastAsia" w:ascii="楷体" w:hAnsi="楷体" w:eastAsia="楷体"/>
          <w:szCs w:val="21"/>
        </w:rPr>
        <w:t>：</w:t>
      </w:r>
      <w:r>
        <w:rPr>
          <w:rFonts w:ascii="楷体" w:hAnsi="楷体" w:eastAsia="楷体"/>
          <w:szCs w:val="21"/>
        </w:rPr>
        <w:t>指“花呗”网络消费金融产品项下的分期品牌。如无特别约定，本合同所指的“花呗分期”是指由重庆市蚂蚁小微小额贷款有限公司</w:t>
      </w:r>
      <w:r>
        <w:rPr>
          <w:rFonts w:hint="eastAsia" w:ascii="楷体" w:hAnsi="楷体" w:eastAsia="楷体"/>
          <w:szCs w:val="21"/>
        </w:rPr>
        <w:t>（下称“蚂蚁小贷”）或蚂蚁小贷引入的合作金融机构</w:t>
      </w:r>
      <w:r>
        <w:rPr>
          <w:rFonts w:ascii="楷体" w:hAnsi="楷体" w:eastAsia="楷体"/>
          <w:szCs w:val="21"/>
        </w:rPr>
        <w:t>向付款人</w:t>
      </w:r>
      <w:r>
        <w:rPr>
          <w:rFonts w:hint="eastAsia" w:ascii="楷体" w:hAnsi="楷体" w:eastAsia="楷体"/>
          <w:szCs w:val="21"/>
        </w:rPr>
        <w:t>（</w:t>
      </w:r>
      <w:r>
        <w:rPr>
          <w:rFonts w:ascii="楷体" w:hAnsi="楷体" w:eastAsia="楷体"/>
          <w:szCs w:val="21"/>
        </w:rPr>
        <w:t>持卡人</w:t>
      </w:r>
      <w:r>
        <w:rPr>
          <w:rFonts w:hint="eastAsia" w:ascii="楷体" w:hAnsi="楷体" w:eastAsia="楷体"/>
          <w:szCs w:val="21"/>
        </w:rPr>
        <w:t>）</w:t>
      </w:r>
      <w:r>
        <w:rPr>
          <w:rFonts w:ascii="楷体" w:hAnsi="楷体" w:eastAsia="楷体"/>
          <w:szCs w:val="21"/>
        </w:rPr>
        <w:t>提供的在交易时使用授信资金付款，并确定分期还款期数和还款金额的服务；在不同的商业平台、交易场景中亦有可能被称为“天猫分期”、“天猫·花呗分期”、“分期购”、“淘宝分期”及蚂蚁小贷其他不时调整的营销名称。</w:t>
      </w:r>
    </w:p>
    <w:p>
      <w:pPr>
        <w:pStyle w:val="12"/>
        <w:numPr>
          <w:ilvl w:val="0"/>
          <w:numId w:val="34"/>
        </w:numPr>
        <w:ind w:firstLineChars="0"/>
        <w:rPr>
          <w:rFonts w:ascii="楷体" w:hAnsi="楷体" w:eastAsia="楷体"/>
          <w:szCs w:val="21"/>
        </w:rPr>
      </w:pPr>
      <w:r>
        <w:rPr>
          <w:rFonts w:ascii="楷体" w:hAnsi="楷体" w:eastAsia="楷体"/>
          <w:szCs w:val="21"/>
        </w:rPr>
        <w:t>代偿模式</w:t>
      </w:r>
      <w:r>
        <w:rPr>
          <w:rFonts w:hint="eastAsia" w:ascii="楷体" w:hAnsi="楷体" w:eastAsia="楷体"/>
          <w:szCs w:val="21"/>
        </w:rPr>
        <w:t>：指商户承担花呗分期还款服务费、乙方关联公司先行在一定周期内代为偿付花呗分期还款服务费的模式。</w:t>
      </w:r>
    </w:p>
    <w:p>
      <w:pPr>
        <w:pStyle w:val="12"/>
        <w:numPr>
          <w:ilvl w:val="0"/>
          <w:numId w:val="34"/>
        </w:numPr>
        <w:ind w:firstLineChars="0"/>
        <w:rPr>
          <w:rFonts w:ascii="楷体" w:hAnsi="楷体" w:eastAsia="楷体"/>
          <w:szCs w:val="21"/>
        </w:rPr>
      </w:pPr>
      <w:r>
        <w:rPr>
          <w:rFonts w:ascii="楷体" w:hAnsi="楷体" w:eastAsia="楷体"/>
          <w:szCs w:val="21"/>
        </w:rPr>
        <w:t>甲方使用花呗分期功能时</w:t>
      </w:r>
      <w:r>
        <w:rPr>
          <w:rFonts w:hint="eastAsia" w:ascii="楷体" w:hAnsi="楷体" w:eastAsia="楷体"/>
          <w:szCs w:val="21"/>
        </w:rPr>
        <w:t>应当遵守分期功能提供方蚂蚁金服业务规则。因甲方与蚂蚁金服之间产生的任何纠纷与乙方无关，由甲方与蚂蚁金服自行解决。</w:t>
      </w:r>
    </w:p>
    <w:p>
      <w:pPr>
        <w:pStyle w:val="12"/>
        <w:numPr>
          <w:ilvl w:val="0"/>
          <w:numId w:val="26"/>
        </w:numPr>
        <w:ind w:firstLineChars="0"/>
        <w:rPr>
          <w:rFonts w:ascii="楷体" w:hAnsi="楷体" w:eastAsia="楷体"/>
          <w:b/>
          <w:szCs w:val="21"/>
        </w:rPr>
      </w:pPr>
      <w:r>
        <w:rPr>
          <w:rFonts w:hint="eastAsia" w:ascii="楷体" w:hAnsi="楷体" w:eastAsia="楷体"/>
          <w:b/>
          <w:szCs w:val="21"/>
        </w:rPr>
        <w:t>网络</w:t>
      </w:r>
      <w:r>
        <w:rPr>
          <w:rFonts w:ascii="楷体" w:hAnsi="楷体" w:eastAsia="楷体"/>
          <w:b/>
          <w:szCs w:val="21"/>
        </w:rPr>
        <w:t>支付</w:t>
      </w:r>
      <w:r>
        <w:rPr>
          <w:rFonts w:hint="eastAsia" w:ascii="楷体" w:hAnsi="楷体" w:eastAsia="楷体"/>
          <w:b/>
          <w:szCs w:val="21"/>
        </w:rPr>
        <w:t>产品</w:t>
      </w:r>
    </w:p>
    <w:p>
      <w:pPr>
        <w:pStyle w:val="12"/>
        <w:numPr>
          <w:ilvl w:val="0"/>
          <w:numId w:val="35"/>
        </w:numPr>
        <w:ind w:firstLineChars="0"/>
        <w:rPr>
          <w:rFonts w:ascii="楷体" w:hAnsi="楷体" w:eastAsia="楷体"/>
          <w:szCs w:val="21"/>
        </w:rPr>
      </w:pPr>
      <w:r>
        <w:rPr>
          <w:rFonts w:hint="eastAsia" w:ascii="楷体" w:hAnsi="楷体" w:eastAsia="楷体"/>
          <w:b/>
          <w:szCs w:val="21"/>
        </w:rPr>
        <w:t>银行卡支付：</w:t>
      </w:r>
      <w:r>
        <w:rPr>
          <w:rFonts w:hint="eastAsia" w:ascii="楷体" w:hAnsi="楷体" w:eastAsia="楷体"/>
          <w:szCs w:val="21"/>
        </w:rPr>
        <w:t>甲方及甲方用户可使用银行卡账户中的余额进行支付，乙方将从其银行卡账户中扣除相应金额，通过各项功能接口完成支付指令。</w:t>
      </w:r>
    </w:p>
    <w:p>
      <w:pPr>
        <w:pStyle w:val="12"/>
        <w:numPr>
          <w:ilvl w:val="0"/>
          <w:numId w:val="35"/>
        </w:numPr>
        <w:ind w:firstLineChars="0"/>
        <w:rPr>
          <w:rFonts w:ascii="楷体" w:hAnsi="楷体" w:eastAsia="楷体"/>
          <w:szCs w:val="21"/>
        </w:rPr>
      </w:pPr>
      <w:r>
        <w:rPr>
          <w:rFonts w:hint="eastAsia" w:ascii="楷体" w:hAnsi="楷体" w:eastAsia="楷体"/>
          <w:b/>
          <w:szCs w:val="21"/>
        </w:rPr>
        <w:t>协议支付：</w:t>
      </w:r>
      <w:r>
        <w:rPr>
          <w:rFonts w:hint="eastAsia" w:ascii="楷体" w:hAnsi="楷体" w:eastAsia="楷体"/>
          <w:szCs w:val="21"/>
        </w:rPr>
        <w:t>甲方自然人用户通过乙方提供系统接口发起协议支付指令，乙方经授权从用户指定的本人银行借记卡中扣除用户指定金额。用户首次发起协议支付时，乙方或其合作机构将通过身份证号、姓名、银行卡号、手机号等多种方式进行支付验证。银行卡绑定验证通过后，用户发起支付指令时按照乙方要求的验证方式确认后即可完成支付。因甲方或甲方用户违反法律法规、监管规定、网联规则或甲乙双方约定使用协议支付功能导致的合法持卡人或乙方损失，由甲方负责赔偿。甲方及甲方用户对其所绑定的银行账户、预留手机号等信息承担妥善保护义务，非因乙方原因导致的信息泄露而产生的损失，由甲方及其用户自行承担</w:t>
      </w:r>
    </w:p>
    <w:p>
      <w:pPr>
        <w:pStyle w:val="12"/>
        <w:numPr>
          <w:ilvl w:val="0"/>
          <w:numId w:val="35"/>
        </w:numPr>
        <w:ind w:firstLineChars="0"/>
        <w:rPr>
          <w:rFonts w:ascii="楷体" w:hAnsi="楷体" w:eastAsia="楷体"/>
          <w:szCs w:val="21"/>
        </w:rPr>
      </w:pPr>
      <w:r>
        <w:rPr>
          <w:rFonts w:hint="eastAsia" w:ascii="楷体" w:hAnsi="楷体" w:eastAsia="楷体"/>
          <w:b/>
          <w:szCs w:val="21"/>
        </w:rPr>
        <w:t>条码支付</w:t>
      </w:r>
      <w:r>
        <w:rPr>
          <w:rFonts w:ascii="楷体" w:hAnsi="楷体" w:eastAsia="楷体"/>
          <w:b/>
          <w:szCs w:val="21"/>
        </w:rPr>
        <w:t>：</w:t>
      </w:r>
      <w:r>
        <w:rPr>
          <w:rFonts w:hint="eastAsia" w:ascii="楷体" w:hAnsi="楷体" w:eastAsia="楷体"/>
          <w:szCs w:val="21"/>
        </w:rPr>
        <w:t>指</w:t>
      </w:r>
      <w:r>
        <w:rPr>
          <w:rFonts w:ascii="楷体" w:hAnsi="楷体" w:eastAsia="楷体"/>
          <w:szCs w:val="21"/>
        </w:rPr>
        <w:t>乙方应用条码技术，</w:t>
      </w:r>
      <w:r>
        <w:rPr>
          <w:rFonts w:hint="eastAsia" w:ascii="楷体" w:hAnsi="楷体" w:eastAsia="楷体"/>
          <w:szCs w:val="21"/>
        </w:rPr>
        <w:t>受甲方委托</w:t>
      </w:r>
      <w:r>
        <w:rPr>
          <w:rFonts w:ascii="楷体" w:hAnsi="楷体" w:eastAsia="楷体"/>
          <w:szCs w:val="21"/>
        </w:rPr>
        <w:t>实现</w:t>
      </w:r>
      <w:r>
        <w:rPr>
          <w:rFonts w:hint="eastAsia" w:ascii="楷体" w:hAnsi="楷体" w:eastAsia="楷体"/>
          <w:szCs w:val="21"/>
        </w:rPr>
        <w:t>甲方作为特约商户经营进行的</w:t>
      </w:r>
      <w:r>
        <w:rPr>
          <w:rFonts w:ascii="楷体" w:hAnsi="楷体" w:eastAsia="楷体"/>
          <w:szCs w:val="21"/>
        </w:rPr>
        <w:t>货币资金转移的业务活动。包括</w:t>
      </w:r>
      <w:r>
        <w:rPr>
          <w:rFonts w:hint="eastAsia" w:ascii="楷体" w:hAnsi="楷体" w:eastAsia="楷体"/>
          <w:szCs w:val="21"/>
        </w:rPr>
        <w:t>付款</w:t>
      </w:r>
      <w:r>
        <w:rPr>
          <w:rFonts w:ascii="楷体" w:hAnsi="楷体" w:eastAsia="楷体"/>
          <w:szCs w:val="21"/>
        </w:rPr>
        <w:t>扫码：付款人通过</w:t>
      </w:r>
      <w:r>
        <w:rPr>
          <w:rFonts w:hint="eastAsia" w:ascii="楷体" w:hAnsi="楷体" w:eastAsia="楷体"/>
          <w:szCs w:val="21"/>
        </w:rPr>
        <w:t>移动</w:t>
      </w:r>
      <w:r>
        <w:rPr>
          <w:rFonts w:ascii="楷体" w:hAnsi="楷体" w:eastAsia="楷体"/>
          <w:szCs w:val="21"/>
        </w:rPr>
        <w:t>终端识读收款人展示的条码完成支付的行为</w:t>
      </w:r>
      <w:r>
        <w:rPr>
          <w:rFonts w:hint="eastAsia" w:ascii="楷体" w:hAnsi="楷体" w:eastAsia="楷体"/>
          <w:szCs w:val="21"/>
        </w:rPr>
        <w:t>；</w:t>
      </w:r>
      <w:r>
        <w:rPr>
          <w:rFonts w:ascii="楷体" w:hAnsi="楷体" w:eastAsia="楷体"/>
          <w:szCs w:val="21"/>
        </w:rPr>
        <w:t>收款扫码</w:t>
      </w:r>
      <w:r>
        <w:rPr>
          <w:rFonts w:hint="eastAsia" w:ascii="楷体" w:hAnsi="楷体" w:eastAsia="楷体"/>
          <w:szCs w:val="21"/>
        </w:rPr>
        <w:t>：收款人</w:t>
      </w:r>
      <w:r>
        <w:rPr>
          <w:rFonts w:ascii="楷体" w:hAnsi="楷体" w:eastAsia="楷体"/>
          <w:szCs w:val="21"/>
        </w:rPr>
        <w:t>通过识读付款人移动终端展示的条码完成支付的行为。</w:t>
      </w:r>
      <w:r>
        <w:rPr>
          <w:rFonts w:hint="eastAsia" w:ascii="楷体" w:hAnsi="楷体" w:eastAsia="楷体"/>
          <w:szCs w:val="21"/>
        </w:rPr>
        <w:t>乙方有权依据自身</w:t>
      </w:r>
      <w:r>
        <w:rPr>
          <w:rFonts w:ascii="楷体" w:hAnsi="楷体" w:eastAsia="楷体"/>
          <w:szCs w:val="21"/>
        </w:rPr>
        <w:t>或清算机构或合作机构</w:t>
      </w:r>
      <w:r>
        <w:rPr>
          <w:rFonts w:hint="eastAsia" w:ascii="楷体" w:hAnsi="楷体" w:eastAsia="楷体"/>
          <w:szCs w:val="21"/>
        </w:rPr>
        <w:t>或</w:t>
      </w:r>
      <w:r>
        <w:rPr>
          <w:rFonts w:ascii="楷体" w:hAnsi="楷体" w:eastAsia="楷体"/>
          <w:szCs w:val="21"/>
        </w:rPr>
        <w:t>监管机构的</w:t>
      </w:r>
      <w:r>
        <w:rPr>
          <w:rFonts w:hint="eastAsia" w:ascii="楷体" w:hAnsi="楷体" w:eastAsia="楷体"/>
          <w:szCs w:val="21"/>
        </w:rPr>
        <w:t>风险控制要求，对条码支付的费率及单笔、单日限额等进行调整。</w:t>
      </w:r>
      <w:r>
        <w:rPr>
          <w:rFonts w:hint="eastAsia" w:ascii="楷体" w:hAnsi="楷体" w:eastAsia="楷体"/>
          <w:b/>
          <w:szCs w:val="21"/>
        </w:rPr>
        <w:t>小程序支付：</w:t>
      </w:r>
      <w:r>
        <w:rPr>
          <w:rFonts w:hint="eastAsia" w:ascii="楷体" w:hAnsi="楷体" w:eastAsia="楷体"/>
          <w:szCs w:val="21"/>
        </w:rPr>
        <w:t>甲方用户在移动手机端甲方微信小程序中，通过乙方提供的接口唤起甲方用户微信钱包进行支付。</w:t>
      </w:r>
      <w:r>
        <w:rPr>
          <w:rFonts w:hint="eastAsia" w:ascii="楷体" w:hAnsi="楷体" w:eastAsia="楷体"/>
          <w:b/>
          <w:szCs w:val="21"/>
        </w:rPr>
        <w:t>A</w:t>
      </w:r>
      <w:r>
        <w:rPr>
          <w:rFonts w:ascii="楷体" w:hAnsi="楷体" w:eastAsia="楷体"/>
          <w:b/>
          <w:szCs w:val="21"/>
        </w:rPr>
        <w:t>PP</w:t>
      </w:r>
      <w:r>
        <w:rPr>
          <w:rFonts w:hint="eastAsia" w:ascii="楷体" w:hAnsi="楷体" w:eastAsia="楷体"/>
          <w:b/>
          <w:szCs w:val="21"/>
        </w:rPr>
        <w:t>唤醒支付：</w:t>
      </w:r>
      <w:r>
        <w:rPr>
          <w:rFonts w:hint="eastAsia" w:ascii="楷体" w:hAnsi="楷体" w:eastAsia="楷体"/>
          <w:szCs w:val="21"/>
        </w:rPr>
        <w:t>甲方用户在移动手机端使用甲方APP过程中，通过乙方提供的接口唤起手机上乙方合作机构APP（或网页版）支付界面进行支付。</w:t>
      </w:r>
      <w:r>
        <w:rPr>
          <w:rFonts w:hint="eastAsia" w:ascii="楷体" w:hAnsi="楷体" w:eastAsia="楷体"/>
          <w:b/>
          <w:szCs w:val="21"/>
        </w:rPr>
        <w:t>公众号支付/服务窗支付：</w:t>
      </w:r>
      <w:r>
        <w:rPr>
          <w:rFonts w:hint="eastAsia" w:ascii="楷体" w:hAnsi="楷体" w:eastAsia="楷体"/>
          <w:szCs w:val="21"/>
        </w:rPr>
        <w:t>甲方用户通过甲方公众号的支付页面或支付宝服务窗发起支付指令，由乙方提供接口连接乙方合作机构后台完成支付。</w:t>
      </w:r>
    </w:p>
    <w:p>
      <w:pPr>
        <w:pStyle w:val="12"/>
        <w:numPr>
          <w:ilvl w:val="0"/>
          <w:numId w:val="35"/>
        </w:numPr>
        <w:ind w:firstLineChars="0"/>
        <w:rPr>
          <w:rFonts w:ascii="楷体" w:hAnsi="楷体" w:eastAsia="楷体"/>
          <w:b/>
          <w:szCs w:val="21"/>
        </w:rPr>
      </w:pPr>
      <w:r>
        <w:rPr>
          <w:rFonts w:hint="eastAsia" w:ascii="楷体" w:hAnsi="楷体" w:eastAsia="楷体"/>
          <w:b/>
          <w:szCs w:val="21"/>
        </w:rPr>
        <w:t>取现：</w:t>
      </w:r>
      <w:r>
        <w:rPr>
          <w:rFonts w:hint="eastAsia" w:ascii="楷体" w:hAnsi="楷体" w:eastAsia="楷体"/>
          <w:szCs w:val="21"/>
        </w:rPr>
        <w:t>甲方可将专属账户记录的余额结算资金转出至经乙方身份核验绑定的同名银行卡账户（本协议项下仅限借记卡），该银行卡账户应为甲方合法持有。</w:t>
      </w:r>
    </w:p>
    <w:p>
      <w:pPr>
        <w:pStyle w:val="12"/>
        <w:numPr>
          <w:ilvl w:val="0"/>
          <w:numId w:val="36"/>
        </w:numPr>
        <w:ind w:firstLineChars="0"/>
        <w:rPr>
          <w:rFonts w:ascii="楷体" w:hAnsi="楷体" w:eastAsia="楷体"/>
          <w:b/>
          <w:color w:val="000000"/>
          <w:szCs w:val="21"/>
        </w:rPr>
      </w:pPr>
      <w:r>
        <w:rPr>
          <w:rFonts w:hint="eastAsia" w:ascii="楷体" w:hAnsi="楷体" w:eastAsia="楷体"/>
          <w:b/>
          <w:color w:val="000000"/>
          <w:szCs w:val="21"/>
        </w:rPr>
        <w:t>甲方应妥善保存银行卡账户、预留手机号等信息，自行承担因自身对账号和密码保管及使用不当而造成的一切损失。</w:t>
      </w:r>
    </w:p>
    <w:p>
      <w:pPr>
        <w:pStyle w:val="12"/>
        <w:numPr>
          <w:ilvl w:val="0"/>
          <w:numId w:val="36"/>
        </w:numPr>
        <w:ind w:firstLineChars="0"/>
        <w:rPr>
          <w:rFonts w:ascii="楷体" w:hAnsi="楷体" w:eastAsia="楷体"/>
          <w:b/>
          <w:color w:val="000000"/>
          <w:szCs w:val="21"/>
        </w:rPr>
      </w:pPr>
      <w:r>
        <w:rPr>
          <w:rFonts w:hint="eastAsia" w:ascii="楷体" w:hAnsi="楷体" w:eastAsia="楷体"/>
          <w:b/>
          <w:color w:val="000000"/>
          <w:szCs w:val="21"/>
        </w:rPr>
        <w:t>甲方开通取现功能的，同时支持自动取现。即无需甲方手动发起指令，乙方即根据甲方选择的取现周期进行资金结算。</w:t>
      </w:r>
    </w:p>
    <w:p>
      <w:pPr>
        <w:pStyle w:val="12"/>
        <w:numPr>
          <w:ilvl w:val="0"/>
          <w:numId w:val="36"/>
        </w:numPr>
        <w:ind w:firstLineChars="0"/>
        <w:rPr>
          <w:rFonts w:ascii="楷体" w:hAnsi="楷体" w:eastAsia="楷体"/>
          <w:b/>
          <w:color w:val="000000"/>
          <w:szCs w:val="21"/>
        </w:rPr>
      </w:pPr>
      <w:r>
        <w:rPr>
          <w:rFonts w:hint="eastAsia" w:ascii="楷体" w:hAnsi="楷体" w:eastAsia="楷体"/>
          <w:szCs w:val="21"/>
        </w:rPr>
        <w:t>如甲方存在下述情形的，乙方有权拒绝提供T日或D+0日取现服务：</w:t>
      </w:r>
    </w:p>
    <w:p>
      <w:pPr>
        <w:pStyle w:val="12"/>
        <w:numPr>
          <w:ilvl w:val="0"/>
          <w:numId w:val="37"/>
        </w:numPr>
        <w:adjustRightInd w:val="0"/>
        <w:snapToGrid w:val="0"/>
        <w:ind w:firstLineChars="0"/>
        <w:rPr>
          <w:rFonts w:ascii="楷体" w:hAnsi="楷体" w:eastAsia="楷体"/>
          <w:szCs w:val="21"/>
        </w:rPr>
      </w:pPr>
      <w:r>
        <w:rPr>
          <w:rFonts w:hint="eastAsia" w:ascii="楷体" w:hAnsi="楷体" w:eastAsia="楷体"/>
          <w:szCs w:val="21"/>
        </w:rPr>
        <w:t>甲乙双方签署本协议不满90日的；</w:t>
      </w:r>
    </w:p>
    <w:p>
      <w:pPr>
        <w:pStyle w:val="12"/>
        <w:numPr>
          <w:ilvl w:val="0"/>
          <w:numId w:val="37"/>
        </w:numPr>
        <w:adjustRightInd w:val="0"/>
        <w:snapToGrid w:val="0"/>
        <w:ind w:firstLineChars="0"/>
        <w:rPr>
          <w:rFonts w:ascii="楷体" w:hAnsi="楷体" w:eastAsia="楷体"/>
          <w:szCs w:val="21"/>
        </w:rPr>
      </w:pPr>
      <w:r>
        <w:rPr>
          <w:rFonts w:hint="eastAsia" w:ascii="楷体" w:hAnsi="楷体" w:eastAsia="楷体"/>
          <w:szCs w:val="21"/>
        </w:rPr>
        <w:t>本协议有效期内，连续正常交易不满30日的。</w:t>
      </w:r>
    </w:p>
    <w:p>
      <w:pPr>
        <w:pStyle w:val="12"/>
        <w:numPr>
          <w:ilvl w:val="0"/>
          <w:numId w:val="35"/>
        </w:numPr>
        <w:ind w:firstLineChars="0"/>
        <w:rPr>
          <w:rFonts w:ascii="楷体" w:hAnsi="楷体" w:eastAsia="楷体"/>
          <w:b/>
          <w:szCs w:val="21"/>
        </w:rPr>
      </w:pPr>
      <w:r>
        <w:rPr>
          <w:rFonts w:hint="eastAsia" w:ascii="楷体" w:hAnsi="楷体" w:eastAsia="楷体"/>
          <w:b/>
          <w:szCs w:val="21"/>
        </w:rPr>
        <w:t>分账：</w:t>
      </w:r>
      <w:r>
        <w:rPr>
          <w:rFonts w:hint="eastAsia" w:ascii="楷体" w:hAnsi="楷体" w:eastAsia="楷体"/>
          <w:szCs w:val="21"/>
        </w:rPr>
        <w:t>乙方根据甲方或甲方授权的分账发起方向乙方传输的指令，凭专属账户余额资金，直接将待结算资金部分划付至甲方的账户，部分划付至分账接受方（如：供应商、平台、个人等）的账户。</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本协议下，甲方凭其合作公司发的系统/平台（下简称“业务系统”）向乙方支付系统发送向与甲方存在业务往来的指定收款人付款的分账指令，乙方按指令完成资金划拨。</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甲方在使用本协议项下分账功能时，通过业务系统提交资质材料、电子支付及交易等信息。甲方授权乙方向支付清算机构提供交易所必需的必要信息，</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本协议下甲方通过业务系统发出的任何交易指令、交易信息及向乙方提供服务有关的资料等均视为甲方发出，甲方应对此承担法律后果和法律责任。</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本协议项下，甲方通过平台发出的支付指令为不可撤销的付款指示,且每笔分账</w:t>
      </w:r>
      <w:r>
        <w:rPr>
          <w:rFonts w:ascii="楷体" w:hAnsi="楷体" w:eastAsia="楷体" w:cs="Times New Roman"/>
          <w:b/>
          <w:bCs/>
          <w:kern w:val="2"/>
          <w:sz w:val="21"/>
          <w:szCs w:val="21"/>
        </w:rPr>
        <w:t>申请</w:t>
      </w:r>
      <w:r>
        <w:rPr>
          <w:rFonts w:hint="eastAsia" w:ascii="楷体" w:hAnsi="楷体" w:eastAsia="楷体" w:cs="Times New Roman"/>
          <w:b/>
          <w:bCs/>
          <w:kern w:val="2"/>
          <w:sz w:val="21"/>
          <w:szCs w:val="21"/>
        </w:rPr>
        <w:t>只能对应一次成功的支付指令。甲方使用乙方的分账功能时，应确保自身通过业务系统发出的支付指令的合法性、真实性、有效性和完整性。乙方按甲方的支付指令完成操作后，包括但不限于甲方及其客户提供的支付信息不准确等因素造成的资金风险和责任由甲方承担。</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甲方承诺对所提供的收款人的账户信息及支付金额的准确性负责，并承担因信息不准确（包括但不限于错误、重复、确实等）导致的延迟或错误入账的风险责任。</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甲方应保证提交的分账指令基于甲方与收款人存在完整、合法、真实的分账款交易合同，分账指令为基于此交易背景发起的支付指令，乙方有权要求甲方先行提供相关收付款人的交易合同，对于不具备完整性、合法性、真实性、不符合监管机构反洗钱方面的要求的交易指令，乙方有权不予以执行并且不承担违约责任。如因此类交易造成的乙方损失，乙方按本协议约定向甲方追偿。</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乙方仅为甲方与收款人之间提供特定用途的资金分账功能，甲方与收款人之间可能发生的各种商务纠纷由甲方及其收款人自行解决。</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甲方对本协议项下的分账款项用途的真实性、合法性负责，不得利用乙方提供的分账功能从事公款私存、套取现金、替代性汇款、贪污贿赂、逃税、洗钱等违法、违规活动。</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甲方承诺通过乙方分账功能支付的分账款项仅限于以下用途：</w:t>
      </w:r>
    </w:p>
    <w:p>
      <w:pPr>
        <w:pStyle w:val="6"/>
        <w:spacing w:before="0" w:beforeAutospacing="0" w:after="0" w:afterAutospacing="0"/>
        <w:ind w:left="422" w:leftChars="200" w:hanging="2" w:hangingChars="1"/>
        <w:jc w:val="both"/>
        <w:rPr>
          <w:rFonts w:ascii="楷体" w:hAnsi="楷体" w:eastAsia="楷体" w:cs="Times New Roman"/>
          <w:b/>
          <w:bCs/>
          <w:kern w:val="2"/>
          <w:sz w:val="21"/>
          <w:szCs w:val="21"/>
        </w:rPr>
      </w:pPr>
      <w:permStart w:id="107" w:edGrp="everyone"/>
      <w:r>
        <w:rPr>
          <w:rFonts w:hint="eastAsia" w:ascii="楷体" w:hAnsi="楷体" w:eastAsia="楷体" w:cs="Times New Roman"/>
          <w:b/>
          <w:bCs/>
          <w:kern w:val="2"/>
          <w:sz w:val="21"/>
          <w:szCs w:val="21"/>
        </w:rPr>
        <w:sym w:font="Wingdings" w:char="F0A8"/>
      </w:r>
      <w:permEnd w:id="107"/>
      <w:r>
        <w:rPr>
          <w:rFonts w:hint="eastAsia" w:ascii="楷体" w:hAnsi="楷体" w:eastAsia="楷体" w:cs="Times New Roman"/>
          <w:b/>
          <w:bCs/>
          <w:kern w:val="2"/>
          <w:sz w:val="21"/>
          <w:szCs w:val="21"/>
        </w:rPr>
        <w:t xml:space="preserve">销售返利/返佣  </w:t>
      </w:r>
      <w:permStart w:id="108" w:edGrp="everyone"/>
      <w:r>
        <w:rPr>
          <w:rFonts w:hint="eastAsia" w:ascii="楷体" w:hAnsi="楷体" w:eastAsia="楷体" w:cs="Times New Roman"/>
          <w:b/>
          <w:bCs/>
          <w:kern w:val="2"/>
          <w:sz w:val="21"/>
          <w:szCs w:val="21"/>
        </w:rPr>
        <w:sym w:font="Wingdings" w:char="F0A8"/>
      </w:r>
      <w:permEnd w:id="108"/>
      <w:r>
        <w:rPr>
          <w:rFonts w:hint="eastAsia" w:ascii="楷体" w:hAnsi="楷体" w:eastAsia="楷体" w:cs="Times New Roman"/>
          <w:b/>
          <w:bCs/>
          <w:kern w:val="2"/>
          <w:sz w:val="21"/>
          <w:szCs w:val="21"/>
        </w:rPr>
        <w:t xml:space="preserve">劳务费/稿酬  </w:t>
      </w:r>
      <w:permStart w:id="109" w:edGrp="everyone"/>
      <w:r>
        <w:rPr>
          <w:rFonts w:hint="eastAsia" w:ascii="楷体" w:hAnsi="楷体" w:eastAsia="楷体" w:cs="Times New Roman"/>
          <w:b/>
          <w:bCs/>
          <w:kern w:val="2"/>
          <w:sz w:val="21"/>
          <w:szCs w:val="21"/>
        </w:rPr>
        <w:sym w:font="Wingdings" w:char="F0A8"/>
      </w:r>
      <w:permEnd w:id="109"/>
      <w:r>
        <w:rPr>
          <w:rFonts w:hint="eastAsia" w:ascii="楷体" w:hAnsi="楷体" w:eastAsia="楷体" w:cs="Times New Roman"/>
          <w:b/>
          <w:bCs/>
          <w:kern w:val="2"/>
          <w:sz w:val="21"/>
          <w:szCs w:val="21"/>
        </w:rPr>
        <w:t>其他（请注明）</w:t>
      </w:r>
      <w:permStart w:id="110" w:edGrp="everyone"/>
      <w:r>
        <w:rPr>
          <w:rFonts w:hint="eastAsia" w:ascii="楷体" w:hAnsi="楷体" w:eastAsia="楷体" w:cs="Times New Roman"/>
          <w:b/>
          <w:bCs/>
          <w:kern w:val="2"/>
          <w:sz w:val="21"/>
          <w:szCs w:val="21"/>
          <w:u w:val="single"/>
        </w:rPr>
        <w:t xml:space="preserve"> </w:t>
      </w:r>
      <w:r>
        <w:rPr>
          <w:rFonts w:ascii="楷体" w:hAnsi="楷体" w:eastAsia="楷体" w:cs="Times New Roman"/>
          <w:b/>
          <w:bCs/>
          <w:kern w:val="2"/>
          <w:sz w:val="21"/>
          <w:szCs w:val="21"/>
          <w:u w:val="single"/>
        </w:rPr>
        <w:t xml:space="preserve">      </w:t>
      </w:r>
      <w:permEnd w:id="110"/>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甲方应配合乙方反洗钱工作，根据乙方要求提供证明付款用途真实、合法的相关材料。</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当甲方发生下列任何行为时，乙方有权向甲方提出改正，甲方拒不改正的，乙方有权终止本协议，并向甲方追偿相应的损失：</w:t>
      </w:r>
    </w:p>
    <w:p>
      <w:pPr>
        <w:pStyle w:val="12"/>
        <w:numPr>
          <w:ilvl w:val="0"/>
          <w:numId w:val="39"/>
        </w:numPr>
        <w:adjustRightInd w:val="0"/>
        <w:snapToGrid w:val="0"/>
        <w:ind w:left="422" w:hanging="422" w:hangingChars="201"/>
        <w:rPr>
          <w:rFonts w:ascii="楷体" w:hAnsi="楷体" w:eastAsia="楷体"/>
          <w:color w:val="000000"/>
          <w:szCs w:val="21"/>
        </w:rPr>
      </w:pPr>
      <w:r>
        <w:rPr>
          <w:rFonts w:hint="eastAsia" w:ascii="楷体" w:hAnsi="楷体" w:eastAsia="楷体"/>
          <w:color w:val="000000"/>
          <w:szCs w:val="21"/>
        </w:rPr>
        <w:t xml:space="preserve">利用乙方分账功能从事法律、法规明确禁止活动的； </w:t>
      </w:r>
    </w:p>
    <w:p>
      <w:pPr>
        <w:pStyle w:val="12"/>
        <w:numPr>
          <w:ilvl w:val="0"/>
          <w:numId w:val="39"/>
        </w:numPr>
        <w:adjustRightInd w:val="0"/>
        <w:snapToGrid w:val="0"/>
        <w:ind w:left="422" w:hanging="422" w:hangingChars="201"/>
        <w:rPr>
          <w:rFonts w:ascii="楷体" w:hAnsi="楷体" w:eastAsia="楷体"/>
          <w:color w:val="000000"/>
          <w:szCs w:val="21"/>
        </w:rPr>
      </w:pPr>
      <w:r>
        <w:rPr>
          <w:rFonts w:hint="eastAsia" w:ascii="楷体" w:hAnsi="楷体" w:eastAsia="楷体"/>
          <w:color w:val="000000"/>
          <w:szCs w:val="21"/>
        </w:rPr>
        <w:t>诋毁或损害乙方分账系统声誉的；</w:t>
      </w:r>
    </w:p>
    <w:p>
      <w:pPr>
        <w:pStyle w:val="12"/>
        <w:numPr>
          <w:ilvl w:val="0"/>
          <w:numId w:val="39"/>
        </w:numPr>
        <w:adjustRightInd w:val="0"/>
        <w:snapToGrid w:val="0"/>
        <w:ind w:left="422" w:hanging="422" w:hangingChars="201"/>
        <w:rPr>
          <w:rFonts w:ascii="楷体" w:hAnsi="楷体" w:eastAsia="楷体"/>
          <w:color w:val="000000"/>
          <w:szCs w:val="21"/>
        </w:rPr>
      </w:pPr>
      <w:r>
        <w:rPr>
          <w:rFonts w:hint="eastAsia" w:ascii="楷体" w:hAnsi="楷体" w:eastAsia="楷体"/>
          <w:color w:val="000000"/>
          <w:szCs w:val="21"/>
        </w:rPr>
        <w:t>分账款项的真实用途与本合同项下约定的用途不符的；</w:t>
      </w:r>
    </w:p>
    <w:p>
      <w:pPr>
        <w:pStyle w:val="6"/>
        <w:numPr>
          <w:ilvl w:val="0"/>
          <w:numId w:val="38"/>
        </w:numPr>
        <w:spacing w:before="0" w:beforeAutospacing="0" w:after="0" w:afterAutospacing="0"/>
        <w:ind w:left="424" w:hanging="424" w:hangingChars="201"/>
        <w:jc w:val="both"/>
        <w:rPr>
          <w:rFonts w:ascii="楷体" w:hAnsi="楷体" w:eastAsia="楷体"/>
          <w:b/>
          <w:bCs/>
          <w:color w:val="333333"/>
          <w:sz w:val="21"/>
          <w:szCs w:val="21"/>
          <w:shd w:val="clear" w:color="auto" w:fill="FFFFFF"/>
        </w:rPr>
      </w:pPr>
      <w:r>
        <w:rPr>
          <w:rFonts w:ascii="楷体" w:hAnsi="楷体" w:eastAsia="楷体" w:cs="Times New Roman"/>
          <w:b/>
          <w:bCs/>
          <w:kern w:val="2"/>
          <w:sz w:val="21"/>
          <w:szCs w:val="21"/>
        </w:rPr>
        <w:t>乙方有权根据对甲方的风险评估及交易管理需要，对甲方的分账比例和分账接收方数量进行限制和调整。乙方有权根据国家法律法规</w:t>
      </w:r>
      <w:r>
        <w:rPr>
          <w:rFonts w:hint="eastAsia" w:ascii="楷体" w:hAnsi="楷体" w:eastAsia="楷体" w:cs="Times New Roman"/>
          <w:b/>
          <w:bCs/>
          <w:kern w:val="2"/>
          <w:sz w:val="21"/>
          <w:szCs w:val="21"/>
        </w:rPr>
        <w:t>、</w:t>
      </w:r>
      <w:r>
        <w:rPr>
          <w:rFonts w:ascii="楷体" w:hAnsi="楷体" w:eastAsia="楷体" w:cs="Times New Roman"/>
          <w:b/>
          <w:bCs/>
          <w:kern w:val="2"/>
          <w:sz w:val="21"/>
          <w:szCs w:val="21"/>
        </w:rPr>
        <w:t>国家政策</w:t>
      </w:r>
      <w:r>
        <w:rPr>
          <w:rFonts w:hint="eastAsia" w:ascii="楷体" w:hAnsi="楷体" w:eastAsia="楷体" w:cs="Times New Roman"/>
          <w:b/>
          <w:bCs/>
          <w:kern w:val="2"/>
          <w:sz w:val="21"/>
          <w:szCs w:val="21"/>
        </w:rPr>
        <w:t>、</w:t>
      </w:r>
      <w:r>
        <w:rPr>
          <w:rFonts w:ascii="楷体" w:hAnsi="楷体" w:eastAsia="楷体" w:cs="Times New Roman"/>
          <w:b/>
          <w:bCs/>
          <w:kern w:val="2"/>
          <w:sz w:val="21"/>
          <w:szCs w:val="21"/>
        </w:rPr>
        <w:t>法令的规定</w:t>
      </w:r>
      <w:r>
        <w:rPr>
          <w:rFonts w:hint="eastAsia" w:ascii="楷体" w:hAnsi="楷体" w:eastAsia="楷体" w:cs="Times New Roman"/>
          <w:b/>
          <w:bCs/>
          <w:kern w:val="2"/>
          <w:sz w:val="21"/>
          <w:szCs w:val="21"/>
        </w:rPr>
        <w:t>及</w:t>
      </w:r>
      <w:r>
        <w:rPr>
          <w:rFonts w:ascii="楷体" w:hAnsi="楷体" w:eastAsia="楷体" w:cs="Times New Roman"/>
          <w:b/>
          <w:bCs/>
          <w:kern w:val="2"/>
          <w:sz w:val="21"/>
          <w:szCs w:val="21"/>
        </w:rPr>
        <w:t>自身需要调整分账功能并采取相应风控措施，同时有权基于风控管理要求，审核甲方使用分账功能的合法合规性，并要求甲方及时提供相关核实资料。</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u w:val="single"/>
        </w:rPr>
      </w:pPr>
      <w:r>
        <w:rPr>
          <w:rFonts w:ascii="楷体" w:hAnsi="楷体" w:eastAsia="楷体" w:cs="Times New Roman"/>
          <w:b/>
          <w:bCs/>
          <w:kern w:val="2"/>
          <w:sz w:val="21"/>
          <w:szCs w:val="21"/>
          <w:u w:val="single"/>
        </w:rPr>
        <w:t>甲方承诺</w:t>
      </w:r>
      <w:r>
        <w:rPr>
          <w:rFonts w:hint="eastAsia" w:ascii="楷体" w:hAnsi="楷体" w:eastAsia="楷体" w:cs="Times New Roman"/>
          <w:b/>
          <w:bCs/>
          <w:kern w:val="2"/>
          <w:sz w:val="21"/>
          <w:szCs w:val="21"/>
          <w:u w:val="single"/>
        </w:rPr>
        <w:t>，</w:t>
      </w:r>
      <w:r>
        <w:rPr>
          <w:rFonts w:ascii="楷体" w:hAnsi="楷体" w:eastAsia="楷体" w:cs="Times New Roman"/>
          <w:b/>
          <w:bCs/>
          <w:kern w:val="2"/>
          <w:sz w:val="21"/>
          <w:szCs w:val="21"/>
          <w:u w:val="single"/>
        </w:rPr>
        <w:t>本协议合作下</w:t>
      </w:r>
      <w:r>
        <w:rPr>
          <w:rFonts w:hint="eastAsia" w:ascii="楷体" w:hAnsi="楷体" w:eastAsia="楷体" w:cs="Times New Roman"/>
          <w:b/>
          <w:bCs/>
          <w:kern w:val="2"/>
          <w:sz w:val="21"/>
          <w:szCs w:val="21"/>
          <w:u w:val="single"/>
        </w:rPr>
        <w:t>，乙方有权根据风控政策配置</w:t>
      </w:r>
      <w:r>
        <w:rPr>
          <w:rFonts w:ascii="楷体" w:hAnsi="楷体" w:eastAsia="楷体" w:cs="Times New Roman"/>
          <w:b/>
          <w:bCs/>
          <w:kern w:val="2"/>
          <w:sz w:val="21"/>
          <w:szCs w:val="21"/>
          <w:u w:val="single"/>
        </w:rPr>
        <w:t>甲方的</w:t>
      </w:r>
      <w:r>
        <w:rPr>
          <w:rFonts w:hint="eastAsia" w:ascii="楷体" w:hAnsi="楷体" w:eastAsia="楷体" w:cs="Times New Roman"/>
          <w:b/>
          <w:bCs/>
          <w:kern w:val="2"/>
          <w:sz w:val="21"/>
          <w:szCs w:val="21"/>
          <w:u w:val="single"/>
        </w:rPr>
        <w:t>分账</w:t>
      </w:r>
      <w:r>
        <w:rPr>
          <w:rFonts w:ascii="楷体" w:hAnsi="楷体" w:eastAsia="楷体" w:cs="Times New Roman"/>
          <w:b/>
          <w:bCs/>
          <w:kern w:val="2"/>
          <w:sz w:val="21"/>
          <w:szCs w:val="21"/>
          <w:u w:val="single"/>
        </w:rPr>
        <w:t>比例区间</w:t>
      </w:r>
      <w:r>
        <w:rPr>
          <w:rFonts w:hint="eastAsia" w:ascii="楷体" w:hAnsi="楷体" w:eastAsia="楷体" w:cs="Times New Roman"/>
          <w:b/>
          <w:bCs/>
          <w:kern w:val="2"/>
          <w:sz w:val="21"/>
          <w:szCs w:val="21"/>
          <w:u w:val="single"/>
        </w:rPr>
        <w:t>，如发生甲方分账比例与</w:t>
      </w:r>
      <w:r>
        <w:rPr>
          <w:rFonts w:ascii="楷体" w:hAnsi="楷体" w:eastAsia="楷体" w:cs="Times New Roman"/>
          <w:b/>
          <w:bCs/>
          <w:kern w:val="2"/>
          <w:sz w:val="21"/>
          <w:szCs w:val="21"/>
          <w:u w:val="single"/>
        </w:rPr>
        <w:t>乙方风控配置的分账比例区间不符</w:t>
      </w:r>
      <w:r>
        <w:rPr>
          <w:rFonts w:hint="eastAsia" w:ascii="楷体" w:hAnsi="楷体" w:eastAsia="楷体" w:cs="Times New Roman"/>
          <w:b/>
          <w:bCs/>
          <w:kern w:val="2"/>
          <w:sz w:val="21"/>
          <w:szCs w:val="21"/>
          <w:u w:val="single"/>
        </w:rPr>
        <w:t>，乙方有权要求</w:t>
      </w:r>
      <w:r>
        <w:rPr>
          <w:rFonts w:ascii="楷体" w:hAnsi="楷体" w:eastAsia="楷体" w:cs="Times New Roman"/>
          <w:b/>
          <w:bCs/>
          <w:kern w:val="2"/>
          <w:sz w:val="21"/>
          <w:szCs w:val="21"/>
          <w:u w:val="single"/>
        </w:rPr>
        <w:t>甲方配合乙方的风控调查</w:t>
      </w:r>
      <w:r>
        <w:rPr>
          <w:rFonts w:hint="eastAsia" w:ascii="楷体" w:hAnsi="楷体" w:eastAsia="楷体" w:cs="Times New Roman"/>
          <w:b/>
          <w:bCs/>
          <w:kern w:val="2"/>
          <w:sz w:val="21"/>
          <w:szCs w:val="21"/>
          <w:u w:val="single"/>
        </w:rPr>
        <w:t>、</w:t>
      </w:r>
      <w:r>
        <w:rPr>
          <w:rFonts w:ascii="楷体" w:hAnsi="楷体" w:eastAsia="楷体" w:cs="Times New Roman"/>
          <w:b/>
          <w:bCs/>
          <w:kern w:val="2"/>
          <w:sz w:val="21"/>
          <w:szCs w:val="21"/>
          <w:u w:val="single"/>
        </w:rPr>
        <w:t>出具合理性说明等</w:t>
      </w:r>
      <w:r>
        <w:rPr>
          <w:rFonts w:hint="eastAsia" w:ascii="楷体" w:hAnsi="楷体" w:eastAsia="楷体" w:cs="Times New Roman"/>
          <w:b/>
          <w:bCs/>
          <w:kern w:val="2"/>
          <w:sz w:val="21"/>
          <w:szCs w:val="21"/>
          <w:u w:val="single"/>
        </w:rPr>
        <w:t>，</w:t>
      </w:r>
      <w:r>
        <w:rPr>
          <w:rFonts w:ascii="楷体" w:hAnsi="楷体" w:eastAsia="楷体" w:cs="Times New Roman"/>
          <w:b/>
          <w:bCs/>
          <w:kern w:val="2"/>
          <w:sz w:val="21"/>
          <w:szCs w:val="21"/>
          <w:u w:val="single"/>
        </w:rPr>
        <w:t>且乙方有权对甲方采取相应风控措施</w:t>
      </w:r>
      <w:r>
        <w:rPr>
          <w:rFonts w:hint="eastAsia" w:ascii="楷体" w:hAnsi="楷体" w:eastAsia="楷体" w:cs="Times New Roman"/>
          <w:b/>
          <w:bCs/>
          <w:kern w:val="2"/>
          <w:sz w:val="21"/>
          <w:szCs w:val="21"/>
          <w:u w:val="single"/>
        </w:rPr>
        <w:t>，</w:t>
      </w:r>
      <w:r>
        <w:rPr>
          <w:rFonts w:ascii="楷体" w:hAnsi="楷体" w:eastAsia="楷体" w:cs="Times New Roman"/>
          <w:b/>
          <w:bCs/>
          <w:kern w:val="2"/>
          <w:sz w:val="21"/>
          <w:szCs w:val="21"/>
          <w:u w:val="single"/>
        </w:rPr>
        <w:t>包括但不限于限制交易额度</w:t>
      </w:r>
      <w:r>
        <w:rPr>
          <w:rFonts w:hint="eastAsia" w:ascii="楷体" w:hAnsi="楷体" w:eastAsia="楷体" w:cs="Times New Roman"/>
          <w:b/>
          <w:bCs/>
          <w:kern w:val="2"/>
          <w:sz w:val="21"/>
          <w:szCs w:val="21"/>
          <w:u w:val="single"/>
        </w:rPr>
        <w:t>、</w:t>
      </w:r>
      <w:r>
        <w:rPr>
          <w:rFonts w:ascii="楷体" w:hAnsi="楷体" w:eastAsia="楷体" w:cs="Times New Roman"/>
          <w:b/>
          <w:bCs/>
          <w:kern w:val="2"/>
          <w:sz w:val="21"/>
          <w:szCs w:val="21"/>
          <w:u w:val="single"/>
        </w:rPr>
        <w:t>延迟结算</w:t>
      </w:r>
      <w:r>
        <w:rPr>
          <w:rFonts w:hint="eastAsia" w:ascii="楷体" w:hAnsi="楷体" w:eastAsia="楷体" w:cs="Times New Roman"/>
          <w:b/>
          <w:bCs/>
          <w:kern w:val="2"/>
          <w:sz w:val="21"/>
          <w:szCs w:val="21"/>
          <w:u w:val="single"/>
        </w:rPr>
        <w:t>、</w:t>
      </w:r>
      <w:r>
        <w:rPr>
          <w:rFonts w:ascii="楷体" w:hAnsi="楷体" w:eastAsia="楷体" w:cs="Times New Roman"/>
          <w:b/>
          <w:bCs/>
          <w:kern w:val="2"/>
          <w:sz w:val="21"/>
          <w:szCs w:val="21"/>
          <w:u w:val="single"/>
        </w:rPr>
        <w:t>暂停支付服务等</w:t>
      </w:r>
      <w:r>
        <w:rPr>
          <w:rFonts w:hint="eastAsia" w:ascii="楷体" w:hAnsi="楷体" w:eastAsia="楷体" w:cs="Times New Roman"/>
          <w:b/>
          <w:bCs/>
          <w:kern w:val="2"/>
          <w:sz w:val="21"/>
          <w:szCs w:val="21"/>
          <w:u w:val="single"/>
        </w:rPr>
        <w:t>。</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ascii="楷体" w:hAnsi="楷体" w:eastAsia="楷体" w:cs="Times New Roman"/>
          <w:b/>
          <w:bCs/>
          <w:kern w:val="2"/>
          <w:sz w:val="21"/>
          <w:szCs w:val="21"/>
        </w:rPr>
        <w:t>甲方确认</w:t>
      </w:r>
      <w:r>
        <w:rPr>
          <w:rFonts w:hint="eastAsia" w:ascii="楷体" w:hAnsi="楷体" w:eastAsia="楷体" w:cs="Times New Roman"/>
          <w:b/>
          <w:bCs/>
          <w:kern w:val="2"/>
          <w:sz w:val="21"/>
          <w:szCs w:val="21"/>
        </w:rPr>
        <w:t>，</w:t>
      </w:r>
      <w:r>
        <w:rPr>
          <w:rFonts w:ascii="楷体" w:hAnsi="楷体" w:eastAsia="楷体" w:cs="Times New Roman"/>
          <w:b/>
          <w:bCs/>
          <w:kern w:val="2"/>
          <w:sz w:val="21"/>
          <w:szCs w:val="21"/>
        </w:rPr>
        <w:t>在使用分账功能时</w:t>
      </w:r>
      <w:r>
        <w:rPr>
          <w:rFonts w:hint="eastAsia" w:ascii="楷体" w:hAnsi="楷体" w:eastAsia="楷体" w:cs="Times New Roman"/>
          <w:b/>
          <w:bCs/>
          <w:kern w:val="2"/>
          <w:sz w:val="21"/>
          <w:szCs w:val="21"/>
        </w:rPr>
        <w:t>，</w:t>
      </w:r>
      <w:r>
        <w:rPr>
          <w:rFonts w:ascii="楷体" w:hAnsi="楷体" w:eastAsia="楷体" w:cs="Times New Roman"/>
          <w:b/>
          <w:bCs/>
          <w:kern w:val="2"/>
          <w:sz w:val="21"/>
          <w:szCs w:val="21"/>
        </w:rPr>
        <w:t>若涉及纳税或代扣代缴税款的义务，由甲方自行承担该义务。</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ascii="楷体" w:hAnsi="楷体" w:eastAsia="楷体" w:cs="Times New Roman"/>
          <w:b/>
          <w:bCs/>
          <w:kern w:val="2"/>
          <w:sz w:val="21"/>
          <w:szCs w:val="21"/>
        </w:rPr>
        <w:t>甲方确认</w:t>
      </w:r>
      <w:r>
        <w:rPr>
          <w:rFonts w:hint="eastAsia" w:ascii="楷体" w:hAnsi="楷体" w:eastAsia="楷体" w:cs="Times New Roman"/>
          <w:b/>
          <w:bCs/>
          <w:kern w:val="2"/>
          <w:sz w:val="21"/>
          <w:szCs w:val="21"/>
        </w:rPr>
        <w:t>，乙方</w:t>
      </w:r>
      <w:r>
        <w:rPr>
          <w:rFonts w:ascii="楷体" w:hAnsi="楷体" w:eastAsia="楷体" w:cs="Times New Roman"/>
          <w:b/>
          <w:bCs/>
          <w:kern w:val="2"/>
          <w:sz w:val="21"/>
          <w:szCs w:val="21"/>
        </w:rPr>
        <w:t>只是执行甲方或甲方授权的分账发起方的资金划付和扣划指令，无义务向甲方核实该划付和扣划指令的合法有效性，也无义务向分账接收方验证该划付和扣划指令的有效性。若因甲方使用分账功能导致甲方或分账接收方遭受损失的，由甲方和分账接收方协商解决，与乙方无关。</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因甲方违反本条上述约定的，乙方有权暂停向甲方提供本协议项下服务，情节严重的，乙方有权单方解除协议并要求甲方承担赔偿责任。</w:t>
      </w:r>
    </w:p>
    <w:p>
      <w:pPr>
        <w:adjustRightInd w:val="0"/>
        <w:snapToGrid w:val="0"/>
        <w:rPr>
          <w:rFonts w:ascii="楷体" w:hAnsi="楷体" w:eastAsia="楷体"/>
          <w:szCs w:val="21"/>
        </w:rPr>
      </w:pPr>
      <w:r>
        <w:rPr>
          <w:rFonts w:hint="eastAsia" w:ascii="楷体" w:hAnsi="楷体" w:eastAsia="楷体"/>
          <w:szCs w:val="21"/>
        </w:rPr>
        <w:t>（六）若发卡行或乙方要求甲方必须在相关方履行相关义务后（例如签订书面分期付款协议等）才能提供商品或服务的，甲方必须按照发卡行或乙方要求进行操作。如甲方违反此规定造成乙方或发卡行损失的，甲方须承担赔偿责任。</w:t>
      </w:r>
      <w:r>
        <w:rPr>
          <w:rFonts w:hint="eastAsia" w:ascii="楷体" w:hAnsi="楷体" w:eastAsia="楷体"/>
          <w:szCs w:val="21"/>
        </w:rPr>
        <w:tab/>
      </w:r>
      <w:r>
        <w:rPr>
          <w:rFonts w:hint="eastAsia" w:ascii="楷体" w:hAnsi="楷体" w:eastAsia="楷体"/>
          <w:szCs w:val="21"/>
        </w:rPr>
        <w:t>对于发卡行或清算机构的合理拒付（包括但不限于客户否认交易等）的交易风险和由此产生的损失，由依据本协议确定的造成相关损失的责任方承担。</w:t>
      </w:r>
    </w:p>
    <w:p>
      <w:pPr>
        <w:adjustRightInd w:val="0"/>
        <w:snapToGrid w:val="0"/>
        <w:rPr>
          <w:rFonts w:ascii="楷体" w:hAnsi="楷体" w:eastAsia="楷体"/>
          <w:szCs w:val="21"/>
        </w:rPr>
      </w:pPr>
    </w:p>
    <w:p>
      <w:pPr>
        <w:pStyle w:val="12"/>
        <w:numPr>
          <w:ilvl w:val="0"/>
          <w:numId w:val="2"/>
        </w:numPr>
        <w:ind w:firstLineChars="0"/>
        <w:jc w:val="center"/>
        <w:rPr>
          <w:rFonts w:ascii="楷体" w:hAnsi="楷体" w:eastAsia="楷体"/>
          <w:b/>
          <w:bCs/>
          <w:szCs w:val="21"/>
        </w:rPr>
      </w:pPr>
      <w:r>
        <w:rPr>
          <w:rFonts w:hint="eastAsia" w:ascii="楷体" w:hAnsi="楷体" w:eastAsia="楷体"/>
          <w:b/>
          <w:bCs/>
          <w:szCs w:val="21"/>
        </w:rPr>
        <w:t>专属账户</w:t>
      </w:r>
    </w:p>
    <w:p>
      <w:pPr>
        <w:pStyle w:val="12"/>
        <w:numPr>
          <w:ilvl w:val="0"/>
          <w:numId w:val="40"/>
        </w:numPr>
        <w:ind w:firstLineChars="0"/>
        <w:rPr>
          <w:rFonts w:ascii="楷体" w:hAnsi="楷体" w:eastAsia="楷体"/>
          <w:b/>
          <w:bCs/>
          <w:szCs w:val="21"/>
        </w:rPr>
      </w:pPr>
      <w:r>
        <w:rPr>
          <w:rFonts w:hint="eastAsia" w:ascii="楷体" w:hAnsi="楷体" w:eastAsia="楷体"/>
          <w:b/>
          <w:bCs/>
          <w:szCs w:val="21"/>
        </w:rPr>
        <w:t>专属账户的开立</w:t>
      </w:r>
    </w:p>
    <w:p>
      <w:pPr>
        <w:adjustRightInd w:val="0"/>
        <w:snapToGrid w:val="0"/>
        <w:ind w:firstLine="420" w:firstLineChars="200"/>
        <w:rPr>
          <w:rFonts w:ascii="楷体" w:hAnsi="楷体" w:eastAsia="楷体"/>
          <w:szCs w:val="21"/>
        </w:rPr>
      </w:pPr>
      <w:r>
        <w:rPr>
          <w:rFonts w:hint="eastAsia" w:ascii="楷体" w:hAnsi="楷体" w:eastAsia="楷体"/>
          <w:szCs w:val="21"/>
        </w:rPr>
        <w:t>乙方根据甲方需要及《非银行支付机构网络支付业务管理办法》（下称“管理办法”）相关要求，为甲方开立专属账户，并提供相关必要的信息查询、技术支持等服务，具体以乙方实际提供的为准，主要流程包括：</w:t>
      </w:r>
    </w:p>
    <w:p>
      <w:pPr>
        <w:pStyle w:val="12"/>
        <w:numPr>
          <w:ilvl w:val="0"/>
          <w:numId w:val="41"/>
        </w:numPr>
        <w:adjustRightInd w:val="0"/>
        <w:snapToGrid w:val="0"/>
        <w:ind w:firstLineChars="0"/>
        <w:rPr>
          <w:rFonts w:ascii="楷体" w:hAnsi="楷体" w:eastAsia="楷体"/>
          <w:szCs w:val="21"/>
        </w:rPr>
      </w:pPr>
      <w:r>
        <w:rPr>
          <w:rFonts w:hint="eastAsia" w:ascii="楷体" w:hAnsi="楷体" w:eastAsia="楷体"/>
          <w:szCs w:val="21"/>
        </w:rPr>
        <w:t>甲方应当严格遵守国家法律、法规及有关部门的规定，具备从事相关业务的资质条件，依法办理相应行政许可或备案。甲方应向乙方如实提供企业资质、品牌介绍、业务情况说明及相关法律证明，并授权乙方有权基于业务管理之需要对甲方资信状况进行调查与核实。</w:t>
      </w:r>
    </w:p>
    <w:p>
      <w:pPr>
        <w:pStyle w:val="12"/>
        <w:numPr>
          <w:ilvl w:val="0"/>
          <w:numId w:val="41"/>
        </w:numPr>
        <w:adjustRightInd w:val="0"/>
        <w:snapToGrid w:val="0"/>
        <w:ind w:firstLineChars="0"/>
        <w:rPr>
          <w:rFonts w:ascii="楷体" w:hAnsi="楷体" w:eastAsia="楷体"/>
          <w:b/>
          <w:szCs w:val="21"/>
        </w:rPr>
      </w:pPr>
      <w:r>
        <w:rPr>
          <w:rFonts w:ascii="楷体" w:hAnsi="楷体" w:eastAsia="楷体"/>
          <w:b/>
          <w:szCs w:val="21"/>
        </w:rPr>
        <w:t>甲方应保证所提交资料的准确性、真实性、完整性、合法性，如因资料存在虚假、不准确、遗漏而造成乙方损失的（包括但不限于监管机构处罚等），由甲方承担全部赔偿责任。如上述信息发生变更，包括但不限于合作主体、企业名称、法定代表人、业务对接人等，应提前</w:t>
      </w:r>
      <w:r>
        <w:rPr>
          <w:rFonts w:ascii="楷体" w:hAnsi="楷体" w:eastAsia="楷体"/>
          <w:b/>
          <w:szCs w:val="21"/>
          <w:u w:val="single"/>
        </w:rPr>
        <w:t>5</w:t>
      </w:r>
      <w:r>
        <w:rPr>
          <w:rFonts w:ascii="楷体" w:hAnsi="楷体" w:eastAsia="楷体"/>
          <w:b/>
          <w:szCs w:val="21"/>
        </w:rPr>
        <w:t>个工作日书面通知乙方，依据乙方要求配合完成变更确认手续并提供相关变更证明。</w:t>
      </w:r>
    </w:p>
    <w:p>
      <w:pPr>
        <w:pStyle w:val="12"/>
        <w:numPr>
          <w:ilvl w:val="0"/>
          <w:numId w:val="41"/>
        </w:numPr>
        <w:ind w:firstLineChars="0"/>
        <w:rPr>
          <w:rFonts w:ascii="楷体" w:hAnsi="楷体" w:eastAsia="楷体"/>
          <w:szCs w:val="21"/>
        </w:rPr>
      </w:pPr>
      <w:r>
        <w:rPr>
          <w:rFonts w:hint="eastAsia" w:ascii="楷体" w:hAnsi="楷体" w:eastAsia="楷体"/>
          <w:szCs w:val="21"/>
        </w:rPr>
        <w:t>乙方按照实名制管理要求，登记并采取有效措施验证甲方身份信息，按照规定核对甲方现时有效的身份证件，包括但不限于营业执照、事业单位法人证书、税务登记证、组织机构代码证、法定代表人身份证等，并留存相应复印件或者影印件，建立甲方唯一识别编码，确保有效核实甲方身份和真实意愿后，为其开立专属账户。</w:t>
      </w:r>
    </w:p>
    <w:p>
      <w:pPr>
        <w:pStyle w:val="12"/>
        <w:numPr>
          <w:ilvl w:val="0"/>
          <w:numId w:val="41"/>
        </w:numPr>
        <w:ind w:firstLineChars="0"/>
        <w:rPr>
          <w:rFonts w:ascii="楷体" w:hAnsi="楷体" w:eastAsia="楷体"/>
          <w:b/>
          <w:szCs w:val="21"/>
        </w:rPr>
      </w:pPr>
      <w:r>
        <w:rPr>
          <w:rFonts w:hint="eastAsia" w:ascii="楷体" w:hAnsi="楷体" w:eastAsia="楷体"/>
          <w:b/>
          <w:szCs w:val="21"/>
        </w:rPr>
        <w:t>甲方知悉，如甲方为从事电子商务经营活动、不具备工商登记注册条件且相关法律法规允许不进行工商登记注册的个人，并且不符合《管理办法》关于支付机构参照单位客户管理的个人卖家的条件要求，乙方不为甲方开立本协议项下专属账户，且有权单方解除本协议。</w:t>
      </w:r>
    </w:p>
    <w:p>
      <w:pPr>
        <w:rPr>
          <w:rFonts w:ascii="楷体" w:hAnsi="楷体" w:eastAsia="楷体"/>
          <w:b/>
          <w:szCs w:val="21"/>
        </w:rPr>
      </w:pPr>
    </w:p>
    <w:p>
      <w:pPr>
        <w:pStyle w:val="12"/>
        <w:numPr>
          <w:ilvl w:val="0"/>
          <w:numId w:val="40"/>
        </w:numPr>
        <w:ind w:firstLineChars="0"/>
        <w:rPr>
          <w:rFonts w:ascii="楷体" w:hAnsi="楷体" w:eastAsia="楷体"/>
          <w:b/>
          <w:szCs w:val="21"/>
        </w:rPr>
      </w:pPr>
      <w:r>
        <w:rPr>
          <w:rFonts w:hint="eastAsia" w:ascii="楷体" w:hAnsi="楷体" w:eastAsia="楷体"/>
          <w:b/>
          <w:szCs w:val="21"/>
        </w:rPr>
        <w:t>风险</w:t>
      </w:r>
      <w:r>
        <w:rPr>
          <w:rFonts w:ascii="楷体" w:hAnsi="楷体" w:eastAsia="楷体"/>
          <w:b/>
          <w:szCs w:val="21"/>
        </w:rPr>
        <w:t>提示及特别约定</w:t>
      </w:r>
    </w:p>
    <w:p>
      <w:pPr>
        <w:pStyle w:val="12"/>
        <w:numPr>
          <w:ilvl w:val="0"/>
          <w:numId w:val="42"/>
        </w:numPr>
        <w:ind w:firstLineChars="0"/>
        <w:rPr>
          <w:rFonts w:ascii="楷体" w:hAnsi="楷体" w:eastAsia="楷体"/>
          <w:b/>
          <w:szCs w:val="21"/>
        </w:rPr>
      </w:pPr>
      <w:r>
        <w:rPr>
          <w:rFonts w:hint="eastAsia" w:ascii="楷体" w:hAnsi="楷体" w:eastAsia="楷体"/>
          <w:b/>
          <w:szCs w:val="21"/>
        </w:rPr>
        <w:t>专属账户所记录的资金明细不同于甲方本人的银行存款，不受《存款保险条例》保护，其实质为甲方委托乙方保管的、所有权归属于甲方的待结算金额。该金额对应的货币资金虽然属于甲方，但不以甲方本人名义存放在银行，而是以乙方名义存放在银行，并且由乙方向银行发起结算至甲方银行账户。</w:t>
      </w:r>
    </w:p>
    <w:p>
      <w:pPr>
        <w:pStyle w:val="12"/>
        <w:numPr>
          <w:ilvl w:val="0"/>
          <w:numId w:val="42"/>
        </w:numPr>
        <w:ind w:firstLineChars="0"/>
        <w:rPr>
          <w:rFonts w:ascii="楷体" w:hAnsi="楷体" w:eastAsia="楷体"/>
          <w:b/>
          <w:szCs w:val="21"/>
        </w:rPr>
      </w:pPr>
      <w:r>
        <w:rPr>
          <w:rFonts w:hint="eastAsia" w:ascii="楷体" w:hAnsi="楷体" w:eastAsia="楷体"/>
          <w:b/>
          <w:szCs w:val="21"/>
        </w:rPr>
        <w:t>甲方充分知悉，乙方仅提供支付相关服务，甲方应承担使用支付服务时其资金的货币贬值、汇率波动等风险。</w:t>
      </w:r>
    </w:p>
    <w:p>
      <w:pPr>
        <w:pStyle w:val="12"/>
        <w:numPr>
          <w:ilvl w:val="0"/>
          <w:numId w:val="42"/>
        </w:numPr>
        <w:ind w:firstLineChars="0"/>
        <w:rPr>
          <w:rFonts w:ascii="楷体" w:hAnsi="楷体" w:eastAsia="楷体"/>
          <w:b/>
          <w:szCs w:val="21"/>
        </w:rPr>
      </w:pPr>
      <w:r>
        <w:rPr>
          <w:rFonts w:hint="eastAsia" w:ascii="楷体" w:hAnsi="楷体" w:eastAsia="楷体"/>
          <w:b/>
          <w:szCs w:val="21"/>
        </w:rPr>
        <w:t>鉴于专属账户与客户在甲方网站注册的账户绑定，甲方及甲方用户应妥善保管其网站注册账户及密码，并自行承担保管不善导致的损失。</w:t>
      </w:r>
    </w:p>
    <w:p>
      <w:pPr>
        <w:pStyle w:val="12"/>
        <w:numPr>
          <w:ilvl w:val="0"/>
          <w:numId w:val="42"/>
        </w:numPr>
        <w:ind w:firstLineChars="0"/>
        <w:rPr>
          <w:rFonts w:ascii="楷体" w:hAnsi="楷体" w:eastAsia="楷体"/>
          <w:b/>
          <w:szCs w:val="21"/>
        </w:rPr>
      </w:pPr>
      <w:r>
        <w:rPr>
          <w:rFonts w:hint="eastAsia" w:ascii="楷体" w:hAnsi="楷体" w:eastAsia="楷体"/>
          <w:b/>
          <w:szCs w:val="21"/>
        </w:rPr>
        <w:t>甲方充分知悉，网上交易有风险，甲方与他人因网上交易产生的商品或服务质量、数量、交易金额、交货时间等纠纷及损失，应由甲方独立承担责任。</w:t>
      </w:r>
    </w:p>
    <w:p>
      <w:pPr>
        <w:pStyle w:val="12"/>
        <w:numPr>
          <w:ilvl w:val="0"/>
          <w:numId w:val="42"/>
        </w:numPr>
        <w:adjustRightInd w:val="0"/>
        <w:snapToGrid w:val="0"/>
        <w:ind w:firstLineChars="0"/>
        <w:rPr>
          <w:rFonts w:ascii="楷体" w:hAnsi="楷体" w:eastAsia="楷体"/>
          <w:szCs w:val="21"/>
        </w:rPr>
      </w:pPr>
      <w:r>
        <w:rPr>
          <w:rFonts w:hint="eastAsia" w:ascii="楷体" w:hAnsi="楷体" w:eastAsia="楷体"/>
          <w:b/>
          <w:szCs w:val="21"/>
        </w:rPr>
        <w:t>甲方对乙方所提示的风险和列示措施、说明完全理解和同意，承诺采取相关风险防范措施以尽量避免或减小风险。</w:t>
      </w:r>
    </w:p>
    <w:p>
      <w:pPr>
        <w:adjustRightInd w:val="0"/>
        <w:snapToGrid w:val="0"/>
        <w:rPr>
          <w:rFonts w:ascii="楷体" w:hAnsi="楷体" w:eastAsia="楷体"/>
          <w:szCs w:val="21"/>
        </w:rPr>
      </w:pPr>
    </w:p>
    <w:p>
      <w:pPr>
        <w:pStyle w:val="12"/>
        <w:numPr>
          <w:ilvl w:val="0"/>
          <w:numId w:val="40"/>
        </w:numPr>
        <w:ind w:firstLineChars="0"/>
        <w:rPr>
          <w:rFonts w:ascii="楷体" w:hAnsi="楷体" w:eastAsia="楷体"/>
          <w:b/>
          <w:szCs w:val="21"/>
        </w:rPr>
      </w:pPr>
      <w:r>
        <w:rPr>
          <w:rFonts w:hint="eastAsia" w:ascii="楷体" w:hAnsi="楷体" w:eastAsia="楷体"/>
          <w:b/>
          <w:szCs w:val="21"/>
        </w:rPr>
        <w:t>规范使用专属账户承诺</w:t>
      </w:r>
    </w:p>
    <w:p>
      <w:pPr>
        <w:ind w:firstLine="420" w:firstLineChars="200"/>
        <w:rPr>
          <w:rFonts w:ascii="楷体" w:hAnsi="楷体" w:eastAsia="楷体"/>
          <w:szCs w:val="21"/>
        </w:rPr>
      </w:pPr>
      <w:r>
        <w:rPr>
          <w:rFonts w:hint="eastAsia" w:ascii="楷体" w:hAnsi="楷体" w:eastAsia="楷体"/>
          <w:szCs w:val="21"/>
        </w:rPr>
        <w:t>为配合乙方贯彻落实《人民币银行结算账户管理办法》、《非银行支付机构网络支付业务管理办法》、《中国人民银行关于进一步加强支付结算管理防范电信网络新型违法犯罪有关事项的通知》等相关法律法规规定，有效应对和防范电信网络新型违反犯罪活动，保护金融消费者财产安全和合法权益，优化商户服务，现基于甲乙双方的业务合作关系，甲方及甲方法定代表人承诺同意如下事项：</w:t>
      </w:r>
    </w:p>
    <w:p>
      <w:pPr>
        <w:pStyle w:val="12"/>
        <w:numPr>
          <w:ilvl w:val="0"/>
          <w:numId w:val="43"/>
        </w:numPr>
        <w:ind w:firstLineChars="0"/>
        <w:rPr>
          <w:rFonts w:ascii="楷体" w:hAnsi="楷体" w:eastAsia="楷体"/>
          <w:szCs w:val="21"/>
        </w:rPr>
      </w:pPr>
      <w:r>
        <w:rPr>
          <w:rFonts w:hint="eastAsia" w:ascii="楷体" w:hAnsi="楷体" w:eastAsia="楷体"/>
          <w:szCs w:val="21"/>
        </w:rPr>
        <w:t>同意并确认系自愿申请在乙方开立单位账户，并保证向乙方提交的单位账户开户证明文件真实、完整、合规，且开户文件所属人与开户申请人保持一致。</w:t>
      </w:r>
    </w:p>
    <w:p>
      <w:pPr>
        <w:pStyle w:val="12"/>
        <w:numPr>
          <w:ilvl w:val="0"/>
          <w:numId w:val="43"/>
        </w:numPr>
        <w:ind w:firstLineChars="0"/>
        <w:rPr>
          <w:rFonts w:ascii="楷体" w:hAnsi="楷体" w:eastAsia="楷体"/>
          <w:szCs w:val="21"/>
        </w:rPr>
      </w:pPr>
      <w:r>
        <w:rPr>
          <w:rFonts w:hint="eastAsia" w:ascii="楷体" w:hAnsi="楷体" w:eastAsia="楷体"/>
          <w:szCs w:val="21"/>
        </w:rPr>
        <w:t>乙方为甲方开立的单位账户仅供甲方在双方协议范围内合法、合规、合理使用，甲方不得出租、出借、出售或有其他变相买卖单位账户的行为。如有违反，导致甲方被市级及以上公安机关认定为买卖单位账户、冒名开户等违法行为的，乙方有权依据相关法律法规的规定，5年内暂停甲方所有业务，并不再为甲方开立新账户。惩戒期满后，甲方如需办理新开立账户业务的，乙方有权要求甲方提供账户使用相关证明文件等其他资质材料。</w:t>
      </w:r>
    </w:p>
    <w:p>
      <w:pPr>
        <w:pStyle w:val="12"/>
        <w:numPr>
          <w:ilvl w:val="0"/>
          <w:numId w:val="43"/>
        </w:numPr>
        <w:ind w:firstLineChars="0"/>
        <w:rPr>
          <w:rFonts w:ascii="楷体" w:hAnsi="楷体" w:eastAsia="楷体"/>
          <w:szCs w:val="21"/>
        </w:rPr>
      </w:pPr>
      <w:r>
        <w:rPr>
          <w:rFonts w:hint="eastAsia" w:ascii="楷体" w:hAnsi="楷体" w:eastAsia="楷体"/>
          <w:szCs w:val="21"/>
        </w:rPr>
        <w:t>甲方应提高账户的合规使用意识，并配合乙方做好账户审核、动态符合、对账、风险监测及后续控制措施等工作。如遇账户变更、撤销或其他行政性变更的，应当及时告知乙方并提交相关说明和证明文件。</w:t>
      </w:r>
    </w:p>
    <w:p>
      <w:pPr>
        <w:pStyle w:val="12"/>
        <w:numPr>
          <w:ilvl w:val="0"/>
          <w:numId w:val="43"/>
        </w:numPr>
        <w:ind w:firstLineChars="0"/>
        <w:rPr>
          <w:rFonts w:ascii="楷体" w:hAnsi="楷体" w:eastAsia="楷体"/>
          <w:szCs w:val="21"/>
        </w:rPr>
      </w:pPr>
      <w:r>
        <w:rPr>
          <w:rFonts w:hint="eastAsia" w:ascii="楷体" w:hAnsi="楷体" w:eastAsia="楷体"/>
          <w:szCs w:val="21"/>
        </w:rPr>
        <w:t>甲方将不断提高社会责任意识，秉持合法经营、合规使用的原则，始终把消费者合法权益的保护工作放在首位。甲方愿意积极维护消费者合法权益，在发生交易风险时，同意乙方对甲方采取控制账户交易等风险控制措施。</w:t>
      </w:r>
      <w:bookmarkEnd w:id="0"/>
    </w:p>
    <w:sectPr>
      <w:footerReference r:id="rId3" w:type="default"/>
      <w:pgSz w:w="11906" w:h="16838"/>
      <w:pgMar w:top="567" w:right="567" w:bottom="567"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96825537"/>
      <w:docPartObj>
        <w:docPartGallery w:val="AutoText"/>
      </w:docPartObj>
    </w:sdtPr>
    <w:sdtEndPr>
      <w:rPr>
        <w:lang w:val="zh-CN"/>
      </w:rPr>
    </w:sdtEndPr>
    <w:sdtContent>
      <w:sdt>
        <w:sdtPr>
          <w:id w:val="1728636285"/>
          <w:docPartObj>
            <w:docPartGallery w:val="AutoText"/>
          </w:docPartObj>
        </w:sdtPr>
        <w:sdtEndPr>
          <w:rPr>
            <w:lang w:val="zh-CN"/>
          </w:rPr>
        </w:sdtEndPr>
        <w:sdtContent>
          <w:p>
            <w:pPr>
              <w:pStyle w:val="4"/>
              <w:jc w:val="center"/>
              <w:rPr>
                <w:b/>
                <w:bCs/>
                <w:sz w:val="24"/>
                <w:szCs w:val="24"/>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15</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15</w:t>
            </w:r>
            <w:r>
              <w:rPr>
                <w:b/>
                <w:bCs/>
                <w:sz w:val="24"/>
                <w:szCs w:val="24"/>
              </w:rPr>
              <w:fldChar w:fldCharType="end"/>
            </w:r>
          </w:p>
          <w:p>
            <w:pPr>
              <w:pStyle w:val="4"/>
              <w:jc w:val="right"/>
              <w:rPr>
                <w:lang w:val="zh-CN"/>
              </w:rPr>
            </w:pPr>
            <w:r>
              <w:rPr>
                <w:lang w:val="zh-CN"/>
              </w:rPr>
              <w:t>XLS V1.0 2021.07</w:t>
            </w:r>
          </w:p>
        </w:sdtContent>
      </w:sdt>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85888"/>
    <w:multiLevelType w:val="multilevel"/>
    <w:tmpl w:val="02285888"/>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1">
    <w:nsid w:val="03132D00"/>
    <w:multiLevelType w:val="multilevel"/>
    <w:tmpl w:val="03132D00"/>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2">
    <w:nsid w:val="056E6D86"/>
    <w:multiLevelType w:val="multilevel"/>
    <w:tmpl w:val="056E6D8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5DE5792"/>
    <w:multiLevelType w:val="multilevel"/>
    <w:tmpl w:val="05DE579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6AA6118"/>
    <w:multiLevelType w:val="multilevel"/>
    <w:tmpl w:val="06AA611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6CA1521"/>
    <w:multiLevelType w:val="multilevel"/>
    <w:tmpl w:val="06CA152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9221446"/>
    <w:multiLevelType w:val="multilevel"/>
    <w:tmpl w:val="09221446"/>
    <w:lvl w:ilvl="0" w:tentative="0">
      <w:start w:val="1"/>
      <w:numFmt w:val="decimal"/>
      <w:lvlText w:val="%1、"/>
      <w:lvlJc w:val="left"/>
      <w:pPr>
        <w:ind w:left="360" w:hanging="360"/>
      </w:pPr>
      <w:rPr>
        <w:rFonts w:ascii="楷体" w:hAnsi="楷体" w:eastAsia="楷体" w:cstheme="minorBid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D4D72EE"/>
    <w:multiLevelType w:val="multilevel"/>
    <w:tmpl w:val="0D4D72EE"/>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12120011"/>
    <w:multiLevelType w:val="multilevel"/>
    <w:tmpl w:val="1212001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142158F3"/>
    <w:multiLevelType w:val="multilevel"/>
    <w:tmpl w:val="142158F3"/>
    <w:lvl w:ilvl="0" w:tentative="0">
      <w:start w:val="1"/>
      <w:numFmt w:val="decimal"/>
      <w:lvlText w:val="%1."/>
      <w:lvlJc w:val="left"/>
      <w:pPr>
        <w:ind w:left="420" w:hanging="420"/>
      </w:pPr>
      <w:rPr>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7776025"/>
    <w:multiLevelType w:val="multilevel"/>
    <w:tmpl w:val="17776025"/>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11">
    <w:nsid w:val="1B4A1E62"/>
    <w:multiLevelType w:val="multilevel"/>
    <w:tmpl w:val="1B4A1E62"/>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12">
    <w:nsid w:val="1C384724"/>
    <w:multiLevelType w:val="multilevel"/>
    <w:tmpl w:val="1C38472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1E1E18E2"/>
    <w:multiLevelType w:val="multilevel"/>
    <w:tmpl w:val="1E1E18E2"/>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14">
    <w:nsid w:val="22CB7AD3"/>
    <w:multiLevelType w:val="multilevel"/>
    <w:tmpl w:val="22CB7AD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239B39C5"/>
    <w:multiLevelType w:val="multilevel"/>
    <w:tmpl w:val="239B39C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244357E9"/>
    <w:multiLevelType w:val="multilevel"/>
    <w:tmpl w:val="244357E9"/>
    <w:lvl w:ilvl="0" w:tentative="0">
      <w:start w:val="1"/>
      <w:numFmt w:val="decimal"/>
      <w:lvlText w:val="%1."/>
      <w:lvlJc w:val="left"/>
      <w:pPr>
        <w:ind w:left="420"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7">
    <w:nsid w:val="245D33F6"/>
    <w:multiLevelType w:val="multilevel"/>
    <w:tmpl w:val="245D33F6"/>
    <w:lvl w:ilvl="0" w:tentative="0">
      <w:start w:val="1"/>
      <w:numFmt w:val="decimal"/>
      <w:lvlText w:val="%1."/>
      <w:lvlJc w:val="left"/>
      <w:pPr>
        <w:ind w:left="420"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8">
    <w:nsid w:val="293331D6"/>
    <w:multiLevelType w:val="multilevel"/>
    <w:tmpl w:val="293331D6"/>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2B53505A"/>
    <w:multiLevelType w:val="multilevel"/>
    <w:tmpl w:val="2B53505A"/>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20">
    <w:nsid w:val="2BF214A6"/>
    <w:multiLevelType w:val="multilevel"/>
    <w:tmpl w:val="2BF214A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2D583F3E"/>
    <w:multiLevelType w:val="multilevel"/>
    <w:tmpl w:val="2D583F3E"/>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22">
    <w:nsid w:val="31860CA3"/>
    <w:multiLevelType w:val="multilevel"/>
    <w:tmpl w:val="31860CA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31BE079D"/>
    <w:multiLevelType w:val="multilevel"/>
    <w:tmpl w:val="31BE079D"/>
    <w:lvl w:ilvl="0" w:tentative="0">
      <w:start w:val="1"/>
      <w:numFmt w:val="lowerLetter"/>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4">
    <w:nsid w:val="38A124BA"/>
    <w:multiLevelType w:val="multilevel"/>
    <w:tmpl w:val="38A124BA"/>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38D0470B"/>
    <w:multiLevelType w:val="multilevel"/>
    <w:tmpl w:val="38D0470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42230AD6"/>
    <w:multiLevelType w:val="multilevel"/>
    <w:tmpl w:val="42230AD6"/>
    <w:lvl w:ilvl="0" w:tentative="0">
      <w:start w:val="1"/>
      <w:numFmt w:val="lowerLetter"/>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7">
    <w:nsid w:val="430018B3"/>
    <w:multiLevelType w:val="multilevel"/>
    <w:tmpl w:val="430018B3"/>
    <w:lvl w:ilvl="0" w:tentative="0">
      <w:start w:val="1"/>
      <w:numFmt w:val="decimal"/>
      <w:lvlText w:val="%1."/>
      <w:lvlJc w:val="left"/>
      <w:pPr>
        <w:ind w:left="420"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8">
    <w:nsid w:val="44C04E05"/>
    <w:multiLevelType w:val="multilevel"/>
    <w:tmpl w:val="44C04E0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473A3959"/>
    <w:multiLevelType w:val="multilevel"/>
    <w:tmpl w:val="473A395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48831E8A"/>
    <w:multiLevelType w:val="multilevel"/>
    <w:tmpl w:val="48831E8A"/>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31">
    <w:nsid w:val="4AA847B6"/>
    <w:multiLevelType w:val="multilevel"/>
    <w:tmpl w:val="4AA847B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4ACD6261"/>
    <w:multiLevelType w:val="multilevel"/>
    <w:tmpl w:val="4ACD626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4D8C297A"/>
    <w:multiLevelType w:val="multilevel"/>
    <w:tmpl w:val="4D8C297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51B97952"/>
    <w:multiLevelType w:val="multilevel"/>
    <w:tmpl w:val="51B9795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51C81EF1"/>
    <w:multiLevelType w:val="multilevel"/>
    <w:tmpl w:val="51C81EF1"/>
    <w:lvl w:ilvl="0" w:tentative="0">
      <w:start w:val="1"/>
      <w:numFmt w:val="lowerLetter"/>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36">
    <w:nsid w:val="569D12D8"/>
    <w:multiLevelType w:val="multilevel"/>
    <w:tmpl w:val="569D12D8"/>
    <w:lvl w:ilvl="0" w:tentative="0">
      <w:start w:val="1"/>
      <w:numFmt w:val="japaneseCounting"/>
      <w:lvlText w:val="第%1条"/>
      <w:lvlJc w:val="left"/>
      <w:pPr>
        <w:ind w:left="1517" w:hanging="103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37">
    <w:nsid w:val="5CDA57F9"/>
    <w:multiLevelType w:val="multilevel"/>
    <w:tmpl w:val="5CDA57F9"/>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38">
    <w:nsid w:val="60B30096"/>
    <w:multiLevelType w:val="multilevel"/>
    <w:tmpl w:val="60B30096"/>
    <w:lvl w:ilvl="0" w:tentative="0">
      <w:start w:val="1"/>
      <w:numFmt w:val="japaneseCounting"/>
      <w:lvlText w:val="（%1）"/>
      <w:lvlJc w:val="left"/>
      <w:pPr>
        <w:ind w:left="765" w:hanging="7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61F70992"/>
    <w:multiLevelType w:val="multilevel"/>
    <w:tmpl w:val="61F7099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65B803A6"/>
    <w:multiLevelType w:val="multilevel"/>
    <w:tmpl w:val="65B803A6"/>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41">
    <w:nsid w:val="6ED416AE"/>
    <w:multiLevelType w:val="multilevel"/>
    <w:tmpl w:val="6ED416AE"/>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75284E20"/>
    <w:multiLevelType w:val="multilevel"/>
    <w:tmpl w:val="75284E20"/>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0"/>
  </w:num>
  <w:num w:numId="2">
    <w:abstractNumId w:val="36"/>
  </w:num>
  <w:num w:numId="3">
    <w:abstractNumId w:val="27"/>
  </w:num>
  <w:num w:numId="4">
    <w:abstractNumId w:val="0"/>
  </w:num>
  <w:num w:numId="5">
    <w:abstractNumId w:val="18"/>
  </w:num>
  <w:num w:numId="6">
    <w:abstractNumId w:val="17"/>
  </w:num>
  <w:num w:numId="7">
    <w:abstractNumId w:val="40"/>
  </w:num>
  <w:num w:numId="8">
    <w:abstractNumId w:val="19"/>
  </w:num>
  <w:num w:numId="9">
    <w:abstractNumId w:val="2"/>
  </w:num>
  <w:num w:numId="10">
    <w:abstractNumId w:val="5"/>
  </w:num>
  <w:num w:numId="11">
    <w:abstractNumId w:val="37"/>
  </w:num>
  <w:num w:numId="12">
    <w:abstractNumId w:val="1"/>
  </w:num>
  <w:num w:numId="13">
    <w:abstractNumId w:val="13"/>
  </w:num>
  <w:num w:numId="14">
    <w:abstractNumId w:val="22"/>
  </w:num>
  <w:num w:numId="15">
    <w:abstractNumId w:val="8"/>
  </w:num>
  <w:num w:numId="16">
    <w:abstractNumId w:val="38"/>
  </w:num>
  <w:num w:numId="17">
    <w:abstractNumId w:val="29"/>
  </w:num>
  <w:num w:numId="18">
    <w:abstractNumId w:val="15"/>
  </w:num>
  <w:num w:numId="19">
    <w:abstractNumId w:val="9"/>
  </w:num>
  <w:num w:numId="20">
    <w:abstractNumId w:val="31"/>
  </w:num>
  <w:num w:numId="21">
    <w:abstractNumId w:val="39"/>
  </w:num>
  <w:num w:numId="22">
    <w:abstractNumId w:val="10"/>
  </w:num>
  <w:num w:numId="23">
    <w:abstractNumId w:val="25"/>
  </w:num>
  <w:num w:numId="24">
    <w:abstractNumId w:val="28"/>
  </w:num>
  <w:num w:numId="25">
    <w:abstractNumId w:val="3"/>
  </w:num>
  <w:num w:numId="26">
    <w:abstractNumId w:val="7"/>
  </w:num>
  <w:num w:numId="27">
    <w:abstractNumId w:val="41"/>
  </w:num>
  <w:num w:numId="28">
    <w:abstractNumId w:val="14"/>
  </w:num>
  <w:num w:numId="29">
    <w:abstractNumId w:val="11"/>
  </w:num>
  <w:num w:numId="30">
    <w:abstractNumId w:val="26"/>
  </w:num>
  <w:num w:numId="31">
    <w:abstractNumId w:val="35"/>
  </w:num>
  <w:num w:numId="32">
    <w:abstractNumId w:val="23"/>
  </w:num>
  <w:num w:numId="33">
    <w:abstractNumId w:val="12"/>
  </w:num>
  <w:num w:numId="34">
    <w:abstractNumId w:val="32"/>
  </w:num>
  <w:num w:numId="35">
    <w:abstractNumId w:val="24"/>
  </w:num>
  <w:num w:numId="36">
    <w:abstractNumId w:val="4"/>
  </w:num>
  <w:num w:numId="37">
    <w:abstractNumId w:val="21"/>
  </w:num>
  <w:num w:numId="38">
    <w:abstractNumId w:val="33"/>
  </w:num>
  <w:num w:numId="39">
    <w:abstractNumId w:val="30"/>
  </w:num>
  <w:num w:numId="40">
    <w:abstractNumId w:val="42"/>
  </w:num>
  <w:num w:numId="41">
    <w:abstractNumId w:val="34"/>
  </w:num>
  <w:num w:numId="42">
    <w:abstractNumId w:val="16"/>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1" w:cryptProviderType="rsaAES" w:cryptAlgorithmClass="hash" w:cryptAlgorithmType="typeAny" w:cryptAlgorithmSid="14" w:cryptSpinCount="100000" w:hash="imgyNhCp+yBlpq1uDgkDawId5qzpvFijitQqM7j5Ea68nFBhwUhRCwzkgLQ9HJIXzRm9AO8fQpM8p4+0+vQsRw==" w:salt="mLDBS72trK16N/CzI1pwO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C77"/>
    <w:rsid w:val="000009C4"/>
    <w:rsid w:val="00003648"/>
    <w:rsid w:val="00003E46"/>
    <w:rsid w:val="00004986"/>
    <w:rsid w:val="00004D7B"/>
    <w:rsid w:val="000059BB"/>
    <w:rsid w:val="00005CBA"/>
    <w:rsid w:val="00006B69"/>
    <w:rsid w:val="00016E38"/>
    <w:rsid w:val="00020108"/>
    <w:rsid w:val="00030136"/>
    <w:rsid w:val="00030921"/>
    <w:rsid w:val="000313A0"/>
    <w:rsid w:val="0003280A"/>
    <w:rsid w:val="00033BD8"/>
    <w:rsid w:val="00033E27"/>
    <w:rsid w:val="00035207"/>
    <w:rsid w:val="00040309"/>
    <w:rsid w:val="00045F85"/>
    <w:rsid w:val="00051EA3"/>
    <w:rsid w:val="000544E4"/>
    <w:rsid w:val="00056C69"/>
    <w:rsid w:val="00057FC3"/>
    <w:rsid w:val="00060C10"/>
    <w:rsid w:val="00064DD2"/>
    <w:rsid w:val="00066043"/>
    <w:rsid w:val="00073426"/>
    <w:rsid w:val="000737F0"/>
    <w:rsid w:val="00074313"/>
    <w:rsid w:val="000743BE"/>
    <w:rsid w:val="0007490D"/>
    <w:rsid w:val="00080FC5"/>
    <w:rsid w:val="000838BA"/>
    <w:rsid w:val="000840F0"/>
    <w:rsid w:val="00084210"/>
    <w:rsid w:val="00084833"/>
    <w:rsid w:val="000849D2"/>
    <w:rsid w:val="00087720"/>
    <w:rsid w:val="00092E8D"/>
    <w:rsid w:val="00094D2E"/>
    <w:rsid w:val="00095199"/>
    <w:rsid w:val="000A2372"/>
    <w:rsid w:val="000A49E4"/>
    <w:rsid w:val="000A5939"/>
    <w:rsid w:val="000B0C09"/>
    <w:rsid w:val="000B7AD6"/>
    <w:rsid w:val="000C333C"/>
    <w:rsid w:val="000C37E0"/>
    <w:rsid w:val="000C5EC6"/>
    <w:rsid w:val="000C7787"/>
    <w:rsid w:val="000E12DF"/>
    <w:rsid w:val="000E3533"/>
    <w:rsid w:val="000E682A"/>
    <w:rsid w:val="000E68D3"/>
    <w:rsid w:val="000F049C"/>
    <w:rsid w:val="000F1180"/>
    <w:rsid w:val="000F20C5"/>
    <w:rsid w:val="000F2F97"/>
    <w:rsid w:val="000F3BBE"/>
    <w:rsid w:val="000F43D0"/>
    <w:rsid w:val="000F4DD6"/>
    <w:rsid w:val="000F537A"/>
    <w:rsid w:val="000F6019"/>
    <w:rsid w:val="0010265B"/>
    <w:rsid w:val="00104A05"/>
    <w:rsid w:val="001060CD"/>
    <w:rsid w:val="001061D2"/>
    <w:rsid w:val="00110516"/>
    <w:rsid w:val="00110FED"/>
    <w:rsid w:val="00115169"/>
    <w:rsid w:val="00116FEA"/>
    <w:rsid w:val="00120680"/>
    <w:rsid w:val="001221F7"/>
    <w:rsid w:val="0012230A"/>
    <w:rsid w:val="0012760A"/>
    <w:rsid w:val="0013095A"/>
    <w:rsid w:val="00131D8D"/>
    <w:rsid w:val="00137130"/>
    <w:rsid w:val="001406AF"/>
    <w:rsid w:val="00141425"/>
    <w:rsid w:val="00142C5B"/>
    <w:rsid w:val="00144DC4"/>
    <w:rsid w:val="00144E84"/>
    <w:rsid w:val="0014563D"/>
    <w:rsid w:val="00150328"/>
    <w:rsid w:val="001617F1"/>
    <w:rsid w:val="001631B3"/>
    <w:rsid w:val="00163728"/>
    <w:rsid w:val="00163A47"/>
    <w:rsid w:val="001649E5"/>
    <w:rsid w:val="00165540"/>
    <w:rsid w:val="001657C2"/>
    <w:rsid w:val="001721B3"/>
    <w:rsid w:val="00173A85"/>
    <w:rsid w:val="00180ACA"/>
    <w:rsid w:val="00181DE1"/>
    <w:rsid w:val="00181E3D"/>
    <w:rsid w:val="0018370F"/>
    <w:rsid w:val="00185EF1"/>
    <w:rsid w:val="00193E6F"/>
    <w:rsid w:val="001A1622"/>
    <w:rsid w:val="001A58A0"/>
    <w:rsid w:val="001A58E3"/>
    <w:rsid w:val="001B1EA3"/>
    <w:rsid w:val="001B368C"/>
    <w:rsid w:val="001B6A40"/>
    <w:rsid w:val="001B76FC"/>
    <w:rsid w:val="001B7CA1"/>
    <w:rsid w:val="001C1FC7"/>
    <w:rsid w:val="001C4BE0"/>
    <w:rsid w:val="001C58C3"/>
    <w:rsid w:val="001D0166"/>
    <w:rsid w:val="001D13B6"/>
    <w:rsid w:val="001D1F71"/>
    <w:rsid w:val="001D227A"/>
    <w:rsid w:val="001D4FDB"/>
    <w:rsid w:val="001D5647"/>
    <w:rsid w:val="001E2193"/>
    <w:rsid w:val="001E6D52"/>
    <w:rsid w:val="001F0261"/>
    <w:rsid w:val="001F2BA1"/>
    <w:rsid w:val="001F3410"/>
    <w:rsid w:val="001F5440"/>
    <w:rsid w:val="001F5985"/>
    <w:rsid w:val="00204C43"/>
    <w:rsid w:val="00206832"/>
    <w:rsid w:val="00206EB3"/>
    <w:rsid w:val="00221003"/>
    <w:rsid w:val="00221BC2"/>
    <w:rsid w:val="0022259B"/>
    <w:rsid w:val="002242C5"/>
    <w:rsid w:val="00234F87"/>
    <w:rsid w:val="00237F1D"/>
    <w:rsid w:val="00242941"/>
    <w:rsid w:val="0024629F"/>
    <w:rsid w:val="00247C86"/>
    <w:rsid w:val="0025044F"/>
    <w:rsid w:val="00250EFD"/>
    <w:rsid w:val="00252347"/>
    <w:rsid w:val="00254212"/>
    <w:rsid w:val="002549E6"/>
    <w:rsid w:val="002560FA"/>
    <w:rsid w:val="00260522"/>
    <w:rsid w:val="00263170"/>
    <w:rsid w:val="00267206"/>
    <w:rsid w:val="00271BF0"/>
    <w:rsid w:val="00277F15"/>
    <w:rsid w:val="002805EF"/>
    <w:rsid w:val="00282E34"/>
    <w:rsid w:val="00283594"/>
    <w:rsid w:val="0028367A"/>
    <w:rsid w:val="002841F2"/>
    <w:rsid w:val="0028579C"/>
    <w:rsid w:val="00285C75"/>
    <w:rsid w:val="00294581"/>
    <w:rsid w:val="0029754F"/>
    <w:rsid w:val="00297DDA"/>
    <w:rsid w:val="002A5209"/>
    <w:rsid w:val="002A6597"/>
    <w:rsid w:val="002A68CC"/>
    <w:rsid w:val="002A6953"/>
    <w:rsid w:val="002B4104"/>
    <w:rsid w:val="002B5673"/>
    <w:rsid w:val="002B72A9"/>
    <w:rsid w:val="002B7C6F"/>
    <w:rsid w:val="002B7FBA"/>
    <w:rsid w:val="002C0642"/>
    <w:rsid w:val="002C12B7"/>
    <w:rsid w:val="002C283D"/>
    <w:rsid w:val="002C7554"/>
    <w:rsid w:val="002D038F"/>
    <w:rsid w:val="002D0E34"/>
    <w:rsid w:val="002D453F"/>
    <w:rsid w:val="002D57AB"/>
    <w:rsid w:val="002E59B5"/>
    <w:rsid w:val="002E75B7"/>
    <w:rsid w:val="002F1879"/>
    <w:rsid w:val="00301445"/>
    <w:rsid w:val="00301C61"/>
    <w:rsid w:val="00301C9C"/>
    <w:rsid w:val="00302E78"/>
    <w:rsid w:val="00303B6E"/>
    <w:rsid w:val="00303D09"/>
    <w:rsid w:val="003042DF"/>
    <w:rsid w:val="003055FF"/>
    <w:rsid w:val="00316F3E"/>
    <w:rsid w:val="0032247F"/>
    <w:rsid w:val="0032739B"/>
    <w:rsid w:val="0033081C"/>
    <w:rsid w:val="003311B5"/>
    <w:rsid w:val="003314DD"/>
    <w:rsid w:val="00333059"/>
    <w:rsid w:val="003352AC"/>
    <w:rsid w:val="00341813"/>
    <w:rsid w:val="00341A1A"/>
    <w:rsid w:val="00344592"/>
    <w:rsid w:val="0035151E"/>
    <w:rsid w:val="00355D2C"/>
    <w:rsid w:val="00363A35"/>
    <w:rsid w:val="0036456F"/>
    <w:rsid w:val="00364B4E"/>
    <w:rsid w:val="003705F6"/>
    <w:rsid w:val="00373409"/>
    <w:rsid w:val="00375740"/>
    <w:rsid w:val="00376A0D"/>
    <w:rsid w:val="00380850"/>
    <w:rsid w:val="00381D4F"/>
    <w:rsid w:val="00384429"/>
    <w:rsid w:val="003844BD"/>
    <w:rsid w:val="0038628D"/>
    <w:rsid w:val="0038681B"/>
    <w:rsid w:val="003A28C9"/>
    <w:rsid w:val="003A4EB4"/>
    <w:rsid w:val="003A5271"/>
    <w:rsid w:val="003A7FB6"/>
    <w:rsid w:val="003B376D"/>
    <w:rsid w:val="003C30BA"/>
    <w:rsid w:val="003C46B4"/>
    <w:rsid w:val="003C7198"/>
    <w:rsid w:val="003D197B"/>
    <w:rsid w:val="003D3ACD"/>
    <w:rsid w:val="003E2DED"/>
    <w:rsid w:val="003E38B7"/>
    <w:rsid w:val="003E73F9"/>
    <w:rsid w:val="003E7BD8"/>
    <w:rsid w:val="003F027F"/>
    <w:rsid w:val="003F0379"/>
    <w:rsid w:val="003F0DD5"/>
    <w:rsid w:val="003F1817"/>
    <w:rsid w:val="003F1EE9"/>
    <w:rsid w:val="003F54A9"/>
    <w:rsid w:val="003F61B2"/>
    <w:rsid w:val="00401049"/>
    <w:rsid w:val="00402212"/>
    <w:rsid w:val="00404B39"/>
    <w:rsid w:val="0040586C"/>
    <w:rsid w:val="00406D15"/>
    <w:rsid w:val="00407503"/>
    <w:rsid w:val="00407643"/>
    <w:rsid w:val="00414D2E"/>
    <w:rsid w:val="00415D9E"/>
    <w:rsid w:val="00420564"/>
    <w:rsid w:val="0042140E"/>
    <w:rsid w:val="00424D00"/>
    <w:rsid w:val="00425752"/>
    <w:rsid w:val="004306B3"/>
    <w:rsid w:val="004310C5"/>
    <w:rsid w:val="00432517"/>
    <w:rsid w:val="00435049"/>
    <w:rsid w:val="004352BF"/>
    <w:rsid w:val="00441119"/>
    <w:rsid w:val="00446AC3"/>
    <w:rsid w:val="00453AE1"/>
    <w:rsid w:val="00453C36"/>
    <w:rsid w:val="00456BAE"/>
    <w:rsid w:val="00457BBF"/>
    <w:rsid w:val="00460DBD"/>
    <w:rsid w:val="004612B7"/>
    <w:rsid w:val="00463B40"/>
    <w:rsid w:val="004652FC"/>
    <w:rsid w:val="004737A0"/>
    <w:rsid w:val="00474B90"/>
    <w:rsid w:val="0047530E"/>
    <w:rsid w:val="00480781"/>
    <w:rsid w:val="00481612"/>
    <w:rsid w:val="0048214C"/>
    <w:rsid w:val="00482E22"/>
    <w:rsid w:val="00483FF1"/>
    <w:rsid w:val="004905F6"/>
    <w:rsid w:val="004910B1"/>
    <w:rsid w:val="0049478B"/>
    <w:rsid w:val="00495E0E"/>
    <w:rsid w:val="004B0DE4"/>
    <w:rsid w:val="004B3E7B"/>
    <w:rsid w:val="004B6000"/>
    <w:rsid w:val="004C2214"/>
    <w:rsid w:val="004C275B"/>
    <w:rsid w:val="004C3835"/>
    <w:rsid w:val="004C53AC"/>
    <w:rsid w:val="004C5F38"/>
    <w:rsid w:val="004C6643"/>
    <w:rsid w:val="004C7441"/>
    <w:rsid w:val="004C76DF"/>
    <w:rsid w:val="004D3B9A"/>
    <w:rsid w:val="004D54DE"/>
    <w:rsid w:val="004D7D7E"/>
    <w:rsid w:val="004E3713"/>
    <w:rsid w:val="004E4DE5"/>
    <w:rsid w:val="004F10E2"/>
    <w:rsid w:val="004F2C77"/>
    <w:rsid w:val="005021B2"/>
    <w:rsid w:val="005079C5"/>
    <w:rsid w:val="00514738"/>
    <w:rsid w:val="00523973"/>
    <w:rsid w:val="00523BA6"/>
    <w:rsid w:val="0052757D"/>
    <w:rsid w:val="005322C0"/>
    <w:rsid w:val="00534DA2"/>
    <w:rsid w:val="00535F3E"/>
    <w:rsid w:val="0053738A"/>
    <w:rsid w:val="00546994"/>
    <w:rsid w:val="005472E3"/>
    <w:rsid w:val="00550151"/>
    <w:rsid w:val="00554478"/>
    <w:rsid w:val="00561680"/>
    <w:rsid w:val="005628CB"/>
    <w:rsid w:val="005633E0"/>
    <w:rsid w:val="00563618"/>
    <w:rsid w:val="0056670E"/>
    <w:rsid w:val="005677EB"/>
    <w:rsid w:val="005719DD"/>
    <w:rsid w:val="00574021"/>
    <w:rsid w:val="0057446B"/>
    <w:rsid w:val="005751FE"/>
    <w:rsid w:val="005843D2"/>
    <w:rsid w:val="00586D4B"/>
    <w:rsid w:val="0059360A"/>
    <w:rsid w:val="005A1F3C"/>
    <w:rsid w:val="005A314A"/>
    <w:rsid w:val="005A58CD"/>
    <w:rsid w:val="005A5CE4"/>
    <w:rsid w:val="005B612D"/>
    <w:rsid w:val="005C0ED2"/>
    <w:rsid w:val="005C26E1"/>
    <w:rsid w:val="005D1B01"/>
    <w:rsid w:val="005D33D2"/>
    <w:rsid w:val="005D44BF"/>
    <w:rsid w:val="005E14BA"/>
    <w:rsid w:val="005E33C8"/>
    <w:rsid w:val="005E4A8B"/>
    <w:rsid w:val="005F1CFD"/>
    <w:rsid w:val="005F4611"/>
    <w:rsid w:val="00600761"/>
    <w:rsid w:val="006016F9"/>
    <w:rsid w:val="00602549"/>
    <w:rsid w:val="00602809"/>
    <w:rsid w:val="00602A95"/>
    <w:rsid w:val="00603756"/>
    <w:rsid w:val="00603946"/>
    <w:rsid w:val="00604E1E"/>
    <w:rsid w:val="00607D16"/>
    <w:rsid w:val="00613FDC"/>
    <w:rsid w:val="00614D44"/>
    <w:rsid w:val="0061509E"/>
    <w:rsid w:val="00616811"/>
    <w:rsid w:val="00620386"/>
    <w:rsid w:val="00621BAC"/>
    <w:rsid w:val="00627969"/>
    <w:rsid w:val="00630DCB"/>
    <w:rsid w:val="00631CDE"/>
    <w:rsid w:val="00634DAB"/>
    <w:rsid w:val="00635E1F"/>
    <w:rsid w:val="0063776C"/>
    <w:rsid w:val="006439F5"/>
    <w:rsid w:val="00645C98"/>
    <w:rsid w:val="00645F67"/>
    <w:rsid w:val="0065244E"/>
    <w:rsid w:val="00653F14"/>
    <w:rsid w:val="00655D39"/>
    <w:rsid w:val="00664E5C"/>
    <w:rsid w:val="006664AB"/>
    <w:rsid w:val="00667872"/>
    <w:rsid w:val="00672B47"/>
    <w:rsid w:val="006732FB"/>
    <w:rsid w:val="00674D7B"/>
    <w:rsid w:val="00676B42"/>
    <w:rsid w:val="0067785C"/>
    <w:rsid w:val="00681A99"/>
    <w:rsid w:val="00682D9A"/>
    <w:rsid w:val="0068366E"/>
    <w:rsid w:val="00683ACA"/>
    <w:rsid w:val="006875FD"/>
    <w:rsid w:val="006A2ECD"/>
    <w:rsid w:val="006A41CF"/>
    <w:rsid w:val="006A57CF"/>
    <w:rsid w:val="006B5336"/>
    <w:rsid w:val="006B5ED0"/>
    <w:rsid w:val="006B7928"/>
    <w:rsid w:val="006C3EA7"/>
    <w:rsid w:val="006C4DE8"/>
    <w:rsid w:val="006D1B01"/>
    <w:rsid w:val="006D32D2"/>
    <w:rsid w:val="006D450B"/>
    <w:rsid w:val="006D71B9"/>
    <w:rsid w:val="006E1184"/>
    <w:rsid w:val="006E13FF"/>
    <w:rsid w:val="006E142A"/>
    <w:rsid w:val="006E74A9"/>
    <w:rsid w:val="006E7EBC"/>
    <w:rsid w:val="006F0DA8"/>
    <w:rsid w:val="006F359A"/>
    <w:rsid w:val="006F3F98"/>
    <w:rsid w:val="006F40C8"/>
    <w:rsid w:val="006F5B1A"/>
    <w:rsid w:val="0070185C"/>
    <w:rsid w:val="00702172"/>
    <w:rsid w:val="0070254A"/>
    <w:rsid w:val="00702F40"/>
    <w:rsid w:val="0070370A"/>
    <w:rsid w:val="007109CE"/>
    <w:rsid w:val="00713694"/>
    <w:rsid w:val="007152C2"/>
    <w:rsid w:val="00716022"/>
    <w:rsid w:val="007171E6"/>
    <w:rsid w:val="00721236"/>
    <w:rsid w:val="0072298E"/>
    <w:rsid w:val="00724A7A"/>
    <w:rsid w:val="00724A7D"/>
    <w:rsid w:val="00727233"/>
    <w:rsid w:val="00732225"/>
    <w:rsid w:val="00732430"/>
    <w:rsid w:val="00733720"/>
    <w:rsid w:val="007422B0"/>
    <w:rsid w:val="00743D67"/>
    <w:rsid w:val="0074433D"/>
    <w:rsid w:val="007451D4"/>
    <w:rsid w:val="00745FD4"/>
    <w:rsid w:val="00746B77"/>
    <w:rsid w:val="00746EDA"/>
    <w:rsid w:val="00750B2F"/>
    <w:rsid w:val="00751E36"/>
    <w:rsid w:val="007551F5"/>
    <w:rsid w:val="007607C8"/>
    <w:rsid w:val="00760D5C"/>
    <w:rsid w:val="00762CAE"/>
    <w:rsid w:val="007648BC"/>
    <w:rsid w:val="007671A1"/>
    <w:rsid w:val="00767BED"/>
    <w:rsid w:val="00776616"/>
    <w:rsid w:val="00781D84"/>
    <w:rsid w:val="007844F0"/>
    <w:rsid w:val="00790E06"/>
    <w:rsid w:val="007A012A"/>
    <w:rsid w:val="007A15D4"/>
    <w:rsid w:val="007A1ABA"/>
    <w:rsid w:val="007A7A8F"/>
    <w:rsid w:val="007B2F76"/>
    <w:rsid w:val="007B4C28"/>
    <w:rsid w:val="007B56A4"/>
    <w:rsid w:val="007B5A7A"/>
    <w:rsid w:val="007B6916"/>
    <w:rsid w:val="007B7964"/>
    <w:rsid w:val="007C113C"/>
    <w:rsid w:val="007C5101"/>
    <w:rsid w:val="007C650F"/>
    <w:rsid w:val="007D0454"/>
    <w:rsid w:val="007D1521"/>
    <w:rsid w:val="007D3BEE"/>
    <w:rsid w:val="007D3CF4"/>
    <w:rsid w:val="007E1574"/>
    <w:rsid w:val="007E1817"/>
    <w:rsid w:val="007E1C05"/>
    <w:rsid w:val="007E5206"/>
    <w:rsid w:val="007E7CC0"/>
    <w:rsid w:val="007F132C"/>
    <w:rsid w:val="007F4DDB"/>
    <w:rsid w:val="007F5EDC"/>
    <w:rsid w:val="007F6743"/>
    <w:rsid w:val="00804AEE"/>
    <w:rsid w:val="00805FE2"/>
    <w:rsid w:val="00806F0B"/>
    <w:rsid w:val="00807FDF"/>
    <w:rsid w:val="00813BE3"/>
    <w:rsid w:val="00813DC7"/>
    <w:rsid w:val="00814BE6"/>
    <w:rsid w:val="00815935"/>
    <w:rsid w:val="00816C38"/>
    <w:rsid w:val="00816F45"/>
    <w:rsid w:val="00817019"/>
    <w:rsid w:val="008232AD"/>
    <w:rsid w:val="00825D20"/>
    <w:rsid w:val="00831A05"/>
    <w:rsid w:val="0083276D"/>
    <w:rsid w:val="00840358"/>
    <w:rsid w:val="00840364"/>
    <w:rsid w:val="0084284A"/>
    <w:rsid w:val="008454C9"/>
    <w:rsid w:val="00852CD3"/>
    <w:rsid w:val="008548CE"/>
    <w:rsid w:val="00863CDD"/>
    <w:rsid w:val="00864587"/>
    <w:rsid w:val="00865719"/>
    <w:rsid w:val="008722FE"/>
    <w:rsid w:val="00874760"/>
    <w:rsid w:val="00874A1B"/>
    <w:rsid w:val="00875862"/>
    <w:rsid w:val="00875BB2"/>
    <w:rsid w:val="008828C4"/>
    <w:rsid w:val="00883D11"/>
    <w:rsid w:val="00884E7C"/>
    <w:rsid w:val="0088529C"/>
    <w:rsid w:val="008873F6"/>
    <w:rsid w:val="00887A4D"/>
    <w:rsid w:val="00891410"/>
    <w:rsid w:val="008A10DB"/>
    <w:rsid w:val="008A1676"/>
    <w:rsid w:val="008A6AD6"/>
    <w:rsid w:val="008B0244"/>
    <w:rsid w:val="008B65CE"/>
    <w:rsid w:val="008C5302"/>
    <w:rsid w:val="008C5B6B"/>
    <w:rsid w:val="008D157F"/>
    <w:rsid w:val="008D4BE0"/>
    <w:rsid w:val="008D5B9D"/>
    <w:rsid w:val="008E4087"/>
    <w:rsid w:val="008E5C5F"/>
    <w:rsid w:val="008E7195"/>
    <w:rsid w:val="008F1291"/>
    <w:rsid w:val="008F16C7"/>
    <w:rsid w:val="008F23B8"/>
    <w:rsid w:val="008F57B9"/>
    <w:rsid w:val="008F5F72"/>
    <w:rsid w:val="009001C5"/>
    <w:rsid w:val="00903B53"/>
    <w:rsid w:val="00905517"/>
    <w:rsid w:val="00907278"/>
    <w:rsid w:val="0091776B"/>
    <w:rsid w:val="00920042"/>
    <w:rsid w:val="009223C4"/>
    <w:rsid w:val="00926602"/>
    <w:rsid w:val="00933E4B"/>
    <w:rsid w:val="009372FC"/>
    <w:rsid w:val="00937E32"/>
    <w:rsid w:val="00941FE6"/>
    <w:rsid w:val="0094210F"/>
    <w:rsid w:val="009503C1"/>
    <w:rsid w:val="009518F0"/>
    <w:rsid w:val="0095210C"/>
    <w:rsid w:val="00956490"/>
    <w:rsid w:val="00961E05"/>
    <w:rsid w:val="0096228A"/>
    <w:rsid w:val="00964713"/>
    <w:rsid w:val="0096495B"/>
    <w:rsid w:val="00965A0C"/>
    <w:rsid w:val="00973145"/>
    <w:rsid w:val="009736DC"/>
    <w:rsid w:val="00975B4A"/>
    <w:rsid w:val="009763AF"/>
    <w:rsid w:val="00976D4C"/>
    <w:rsid w:val="00981F91"/>
    <w:rsid w:val="00990133"/>
    <w:rsid w:val="0099046A"/>
    <w:rsid w:val="00992E10"/>
    <w:rsid w:val="00994A7C"/>
    <w:rsid w:val="00994A9C"/>
    <w:rsid w:val="00995E3C"/>
    <w:rsid w:val="00997003"/>
    <w:rsid w:val="009976A6"/>
    <w:rsid w:val="00997A4E"/>
    <w:rsid w:val="00997D48"/>
    <w:rsid w:val="009A4D05"/>
    <w:rsid w:val="009A7A51"/>
    <w:rsid w:val="009B0C3B"/>
    <w:rsid w:val="009B6107"/>
    <w:rsid w:val="009C094F"/>
    <w:rsid w:val="009C326A"/>
    <w:rsid w:val="009C68D3"/>
    <w:rsid w:val="009C7B0A"/>
    <w:rsid w:val="009D09AD"/>
    <w:rsid w:val="009E1501"/>
    <w:rsid w:val="009E4255"/>
    <w:rsid w:val="009E4D13"/>
    <w:rsid w:val="009E548E"/>
    <w:rsid w:val="009E5CB7"/>
    <w:rsid w:val="009F1153"/>
    <w:rsid w:val="009F3EBC"/>
    <w:rsid w:val="009F6A7C"/>
    <w:rsid w:val="00A0020E"/>
    <w:rsid w:val="00A00418"/>
    <w:rsid w:val="00A00BA5"/>
    <w:rsid w:val="00A03688"/>
    <w:rsid w:val="00A05E3F"/>
    <w:rsid w:val="00A06A4B"/>
    <w:rsid w:val="00A06DE9"/>
    <w:rsid w:val="00A077A1"/>
    <w:rsid w:val="00A23756"/>
    <w:rsid w:val="00A300F3"/>
    <w:rsid w:val="00A31091"/>
    <w:rsid w:val="00A31161"/>
    <w:rsid w:val="00A3262A"/>
    <w:rsid w:val="00A33C80"/>
    <w:rsid w:val="00A34C61"/>
    <w:rsid w:val="00A3523A"/>
    <w:rsid w:val="00A3678D"/>
    <w:rsid w:val="00A36A80"/>
    <w:rsid w:val="00A37C80"/>
    <w:rsid w:val="00A45050"/>
    <w:rsid w:val="00A47B52"/>
    <w:rsid w:val="00A47C03"/>
    <w:rsid w:val="00A50D57"/>
    <w:rsid w:val="00A52E49"/>
    <w:rsid w:val="00A532C3"/>
    <w:rsid w:val="00A61F79"/>
    <w:rsid w:val="00A64283"/>
    <w:rsid w:val="00A67798"/>
    <w:rsid w:val="00A752B7"/>
    <w:rsid w:val="00A76212"/>
    <w:rsid w:val="00A86658"/>
    <w:rsid w:val="00A86A56"/>
    <w:rsid w:val="00A86C63"/>
    <w:rsid w:val="00A86D56"/>
    <w:rsid w:val="00A878B8"/>
    <w:rsid w:val="00A91166"/>
    <w:rsid w:val="00A9339A"/>
    <w:rsid w:val="00A95AB4"/>
    <w:rsid w:val="00AA22F7"/>
    <w:rsid w:val="00AA40DE"/>
    <w:rsid w:val="00AA4CDD"/>
    <w:rsid w:val="00AA6AAB"/>
    <w:rsid w:val="00AB1A65"/>
    <w:rsid w:val="00AB4231"/>
    <w:rsid w:val="00AC02D6"/>
    <w:rsid w:val="00AC374C"/>
    <w:rsid w:val="00AC4956"/>
    <w:rsid w:val="00AC72D3"/>
    <w:rsid w:val="00AD2324"/>
    <w:rsid w:val="00AD2643"/>
    <w:rsid w:val="00AD3C21"/>
    <w:rsid w:val="00AD4498"/>
    <w:rsid w:val="00AD4948"/>
    <w:rsid w:val="00AD6D94"/>
    <w:rsid w:val="00AE4011"/>
    <w:rsid w:val="00AE43D7"/>
    <w:rsid w:val="00AE472C"/>
    <w:rsid w:val="00AE4D83"/>
    <w:rsid w:val="00AE5A6F"/>
    <w:rsid w:val="00AE6026"/>
    <w:rsid w:val="00AF5497"/>
    <w:rsid w:val="00B0412D"/>
    <w:rsid w:val="00B04299"/>
    <w:rsid w:val="00B0465D"/>
    <w:rsid w:val="00B06E03"/>
    <w:rsid w:val="00B076C7"/>
    <w:rsid w:val="00B11232"/>
    <w:rsid w:val="00B17FEF"/>
    <w:rsid w:val="00B202F4"/>
    <w:rsid w:val="00B21C45"/>
    <w:rsid w:val="00B30D59"/>
    <w:rsid w:val="00B348A6"/>
    <w:rsid w:val="00B34F4D"/>
    <w:rsid w:val="00B37273"/>
    <w:rsid w:val="00B43965"/>
    <w:rsid w:val="00B46746"/>
    <w:rsid w:val="00B52EA7"/>
    <w:rsid w:val="00B532CB"/>
    <w:rsid w:val="00B5501B"/>
    <w:rsid w:val="00B559A2"/>
    <w:rsid w:val="00B57A13"/>
    <w:rsid w:val="00B6050A"/>
    <w:rsid w:val="00B60BC7"/>
    <w:rsid w:val="00B63322"/>
    <w:rsid w:val="00B6493F"/>
    <w:rsid w:val="00B65A32"/>
    <w:rsid w:val="00B67018"/>
    <w:rsid w:val="00B7191A"/>
    <w:rsid w:val="00B7275D"/>
    <w:rsid w:val="00B74310"/>
    <w:rsid w:val="00B74B3F"/>
    <w:rsid w:val="00B758E4"/>
    <w:rsid w:val="00B8043C"/>
    <w:rsid w:val="00B80706"/>
    <w:rsid w:val="00B8445C"/>
    <w:rsid w:val="00B86E79"/>
    <w:rsid w:val="00B903E7"/>
    <w:rsid w:val="00B907D5"/>
    <w:rsid w:val="00B91183"/>
    <w:rsid w:val="00B912C1"/>
    <w:rsid w:val="00B92DA2"/>
    <w:rsid w:val="00B9331F"/>
    <w:rsid w:val="00B94586"/>
    <w:rsid w:val="00B958D6"/>
    <w:rsid w:val="00B9649A"/>
    <w:rsid w:val="00B9652C"/>
    <w:rsid w:val="00B96D33"/>
    <w:rsid w:val="00B96FE2"/>
    <w:rsid w:val="00B97287"/>
    <w:rsid w:val="00BA345A"/>
    <w:rsid w:val="00BA4769"/>
    <w:rsid w:val="00BA60CD"/>
    <w:rsid w:val="00BA6FB6"/>
    <w:rsid w:val="00BA78FA"/>
    <w:rsid w:val="00BB0396"/>
    <w:rsid w:val="00BB509F"/>
    <w:rsid w:val="00BB7207"/>
    <w:rsid w:val="00BB7F12"/>
    <w:rsid w:val="00BC11CE"/>
    <w:rsid w:val="00BC191E"/>
    <w:rsid w:val="00BC22C6"/>
    <w:rsid w:val="00BC3D12"/>
    <w:rsid w:val="00BC4C08"/>
    <w:rsid w:val="00BC6CA0"/>
    <w:rsid w:val="00BD2EF0"/>
    <w:rsid w:val="00BD40CD"/>
    <w:rsid w:val="00BD4DE4"/>
    <w:rsid w:val="00BE03BA"/>
    <w:rsid w:val="00BE094B"/>
    <w:rsid w:val="00BE1167"/>
    <w:rsid w:val="00BE7CC5"/>
    <w:rsid w:val="00BF6A33"/>
    <w:rsid w:val="00C009F6"/>
    <w:rsid w:val="00C02A55"/>
    <w:rsid w:val="00C03118"/>
    <w:rsid w:val="00C05B8E"/>
    <w:rsid w:val="00C104E2"/>
    <w:rsid w:val="00C15864"/>
    <w:rsid w:val="00C15C22"/>
    <w:rsid w:val="00C15D2E"/>
    <w:rsid w:val="00C217D9"/>
    <w:rsid w:val="00C27B6A"/>
    <w:rsid w:val="00C35D4D"/>
    <w:rsid w:val="00C46CDC"/>
    <w:rsid w:val="00C47E91"/>
    <w:rsid w:val="00C47FCB"/>
    <w:rsid w:val="00C53095"/>
    <w:rsid w:val="00C546BE"/>
    <w:rsid w:val="00C57469"/>
    <w:rsid w:val="00C613F3"/>
    <w:rsid w:val="00C64446"/>
    <w:rsid w:val="00C654EC"/>
    <w:rsid w:val="00C71CBA"/>
    <w:rsid w:val="00C734CE"/>
    <w:rsid w:val="00C746DE"/>
    <w:rsid w:val="00C76858"/>
    <w:rsid w:val="00C77BF5"/>
    <w:rsid w:val="00C77CC8"/>
    <w:rsid w:val="00C834F5"/>
    <w:rsid w:val="00C85FA0"/>
    <w:rsid w:val="00C958B8"/>
    <w:rsid w:val="00CA0551"/>
    <w:rsid w:val="00CA1BB5"/>
    <w:rsid w:val="00CB0B93"/>
    <w:rsid w:val="00CB7B33"/>
    <w:rsid w:val="00CC28E6"/>
    <w:rsid w:val="00CC488A"/>
    <w:rsid w:val="00CC5DB5"/>
    <w:rsid w:val="00CD09D9"/>
    <w:rsid w:val="00CD1FF3"/>
    <w:rsid w:val="00CD3EE7"/>
    <w:rsid w:val="00CD623E"/>
    <w:rsid w:val="00CD6F9E"/>
    <w:rsid w:val="00CD7881"/>
    <w:rsid w:val="00CE2E2D"/>
    <w:rsid w:val="00CE3F49"/>
    <w:rsid w:val="00CE5204"/>
    <w:rsid w:val="00CE71CA"/>
    <w:rsid w:val="00CE765C"/>
    <w:rsid w:val="00CF2301"/>
    <w:rsid w:val="00CF38AE"/>
    <w:rsid w:val="00CF4607"/>
    <w:rsid w:val="00CF5590"/>
    <w:rsid w:val="00CF70EE"/>
    <w:rsid w:val="00CF73C1"/>
    <w:rsid w:val="00CF79CC"/>
    <w:rsid w:val="00D0273B"/>
    <w:rsid w:val="00D028FD"/>
    <w:rsid w:val="00D03DFB"/>
    <w:rsid w:val="00D06D46"/>
    <w:rsid w:val="00D0702D"/>
    <w:rsid w:val="00D1153B"/>
    <w:rsid w:val="00D11C9C"/>
    <w:rsid w:val="00D1602C"/>
    <w:rsid w:val="00D1606F"/>
    <w:rsid w:val="00D1651C"/>
    <w:rsid w:val="00D22783"/>
    <w:rsid w:val="00D32417"/>
    <w:rsid w:val="00D328E1"/>
    <w:rsid w:val="00D352F2"/>
    <w:rsid w:val="00D355EB"/>
    <w:rsid w:val="00D35C08"/>
    <w:rsid w:val="00D428BE"/>
    <w:rsid w:val="00D46833"/>
    <w:rsid w:val="00D522CD"/>
    <w:rsid w:val="00D626B2"/>
    <w:rsid w:val="00D65C2D"/>
    <w:rsid w:val="00D67B88"/>
    <w:rsid w:val="00D757A4"/>
    <w:rsid w:val="00D76BB9"/>
    <w:rsid w:val="00D77C8E"/>
    <w:rsid w:val="00D77E31"/>
    <w:rsid w:val="00D800A8"/>
    <w:rsid w:val="00D81A33"/>
    <w:rsid w:val="00D82350"/>
    <w:rsid w:val="00D83EC7"/>
    <w:rsid w:val="00D85AC7"/>
    <w:rsid w:val="00D85C3A"/>
    <w:rsid w:val="00D85D03"/>
    <w:rsid w:val="00D86649"/>
    <w:rsid w:val="00D929D8"/>
    <w:rsid w:val="00D94F09"/>
    <w:rsid w:val="00D97EFE"/>
    <w:rsid w:val="00DA1147"/>
    <w:rsid w:val="00DA17C7"/>
    <w:rsid w:val="00DA23FF"/>
    <w:rsid w:val="00DA2AEA"/>
    <w:rsid w:val="00DA36AB"/>
    <w:rsid w:val="00DA50E7"/>
    <w:rsid w:val="00DA5B65"/>
    <w:rsid w:val="00DA7785"/>
    <w:rsid w:val="00DA79FC"/>
    <w:rsid w:val="00DB0F45"/>
    <w:rsid w:val="00DB2206"/>
    <w:rsid w:val="00DB7575"/>
    <w:rsid w:val="00DC464A"/>
    <w:rsid w:val="00DC4696"/>
    <w:rsid w:val="00DC4AEF"/>
    <w:rsid w:val="00DD261C"/>
    <w:rsid w:val="00DD3148"/>
    <w:rsid w:val="00DD6A03"/>
    <w:rsid w:val="00DD7C5F"/>
    <w:rsid w:val="00DE1019"/>
    <w:rsid w:val="00DE46EA"/>
    <w:rsid w:val="00DE66BC"/>
    <w:rsid w:val="00DF16C5"/>
    <w:rsid w:val="00DF3F50"/>
    <w:rsid w:val="00DF46BF"/>
    <w:rsid w:val="00DF6D77"/>
    <w:rsid w:val="00DF6F51"/>
    <w:rsid w:val="00DF78AB"/>
    <w:rsid w:val="00E0643D"/>
    <w:rsid w:val="00E1050E"/>
    <w:rsid w:val="00E246C5"/>
    <w:rsid w:val="00E27DB5"/>
    <w:rsid w:val="00E32445"/>
    <w:rsid w:val="00E32FB6"/>
    <w:rsid w:val="00E3396C"/>
    <w:rsid w:val="00E3750D"/>
    <w:rsid w:val="00E37AFB"/>
    <w:rsid w:val="00E400FB"/>
    <w:rsid w:val="00E40EE3"/>
    <w:rsid w:val="00E416F1"/>
    <w:rsid w:val="00E45AB3"/>
    <w:rsid w:val="00E5286C"/>
    <w:rsid w:val="00E5493D"/>
    <w:rsid w:val="00E56865"/>
    <w:rsid w:val="00E60745"/>
    <w:rsid w:val="00E610F7"/>
    <w:rsid w:val="00E62C91"/>
    <w:rsid w:val="00E67644"/>
    <w:rsid w:val="00E74332"/>
    <w:rsid w:val="00E751CE"/>
    <w:rsid w:val="00E7614B"/>
    <w:rsid w:val="00E76A94"/>
    <w:rsid w:val="00E80099"/>
    <w:rsid w:val="00E831E3"/>
    <w:rsid w:val="00E832C9"/>
    <w:rsid w:val="00E8514D"/>
    <w:rsid w:val="00E862CF"/>
    <w:rsid w:val="00E879FF"/>
    <w:rsid w:val="00E911C0"/>
    <w:rsid w:val="00E9148C"/>
    <w:rsid w:val="00E91CFC"/>
    <w:rsid w:val="00E95947"/>
    <w:rsid w:val="00E96530"/>
    <w:rsid w:val="00EA1C1A"/>
    <w:rsid w:val="00EA3BA3"/>
    <w:rsid w:val="00EA626F"/>
    <w:rsid w:val="00EA627C"/>
    <w:rsid w:val="00EA66A4"/>
    <w:rsid w:val="00EA7E2E"/>
    <w:rsid w:val="00EB10D4"/>
    <w:rsid w:val="00EB7CFC"/>
    <w:rsid w:val="00EC7DEB"/>
    <w:rsid w:val="00ED35DD"/>
    <w:rsid w:val="00ED4CCC"/>
    <w:rsid w:val="00ED5735"/>
    <w:rsid w:val="00ED5747"/>
    <w:rsid w:val="00ED7141"/>
    <w:rsid w:val="00EE0654"/>
    <w:rsid w:val="00EF0726"/>
    <w:rsid w:val="00EF4583"/>
    <w:rsid w:val="00EF57D9"/>
    <w:rsid w:val="00EF6ECF"/>
    <w:rsid w:val="00F01E61"/>
    <w:rsid w:val="00F01FD9"/>
    <w:rsid w:val="00F1515A"/>
    <w:rsid w:val="00F15BFC"/>
    <w:rsid w:val="00F205F8"/>
    <w:rsid w:val="00F20BAC"/>
    <w:rsid w:val="00F23AA4"/>
    <w:rsid w:val="00F24296"/>
    <w:rsid w:val="00F24A67"/>
    <w:rsid w:val="00F26602"/>
    <w:rsid w:val="00F31F83"/>
    <w:rsid w:val="00F33DBA"/>
    <w:rsid w:val="00F34698"/>
    <w:rsid w:val="00F404D0"/>
    <w:rsid w:val="00F42C05"/>
    <w:rsid w:val="00F42E83"/>
    <w:rsid w:val="00F434D3"/>
    <w:rsid w:val="00F45AA4"/>
    <w:rsid w:val="00F45C5B"/>
    <w:rsid w:val="00F460E9"/>
    <w:rsid w:val="00F46112"/>
    <w:rsid w:val="00F50958"/>
    <w:rsid w:val="00F51018"/>
    <w:rsid w:val="00F51643"/>
    <w:rsid w:val="00F517B7"/>
    <w:rsid w:val="00F52CDC"/>
    <w:rsid w:val="00F53210"/>
    <w:rsid w:val="00F55A4E"/>
    <w:rsid w:val="00F6060B"/>
    <w:rsid w:val="00F60AD6"/>
    <w:rsid w:val="00F62572"/>
    <w:rsid w:val="00F6583E"/>
    <w:rsid w:val="00F6590C"/>
    <w:rsid w:val="00F65C79"/>
    <w:rsid w:val="00F66322"/>
    <w:rsid w:val="00F67D67"/>
    <w:rsid w:val="00F712FD"/>
    <w:rsid w:val="00F74DC7"/>
    <w:rsid w:val="00F779C5"/>
    <w:rsid w:val="00F81337"/>
    <w:rsid w:val="00F814A6"/>
    <w:rsid w:val="00F82379"/>
    <w:rsid w:val="00F84A54"/>
    <w:rsid w:val="00F85721"/>
    <w:rsid w:val="00F90062"/>
    <w:rsid w:val="00F930D1"/>
    <w:rsid w:val="00F94A79"/>
    <w:rsid w:val="00F95936"/>
    <w:rsid w:val="00F959BC"/>
    <w:rsid w:val="00F967FB"/>
    <w:rsid w:val="00F96D34"/>
    <w:rsid w:val="00FA11D2"/>
    <w:rsid w:val="00FA1999"/>
    <w:rsid w:val="00FA220D"/>
    <w:rsid w:val="00FA25EB"/>
    <w:rsid w:val="00FA438D"/>
    <w:rsid w:val="00FA4E3D"/>
    <w:rsid w:val="00FA65FF"/>
    <w:rsid w:val="00FB151B"/>
    <w:rsid w:val="00FB3447"/>
    <w:rsid w:val="00FB4141"/>
    <w:rsid w:val="00FB4BEB"/>
    <w:rsid w:val="00FB4EDF"/>
    <w:rsid w:val="00FB4EF1"/>
    <w:rsid w:val="00FB613C"/>
    <w:rsid w:val="00FB6817"/>
    <w:rsid w:val="00FB7C24"/>
    <w:rsid w:val="00FC0AF1"/>
    <w:rsid w:val="00FC4F05"/>
    <w:rsid w:val="00FC52DC"/>
    <w:rsid w:val="00FD0C48"/>
    <w:rsid w:val="00FD48BC"/>
    <w:rsid w:val="00FD5D44"/>
    <w:rsid w:val="00FD6A9A"/>
    <w:rsid w:val="00FE093B"/>
    <w:rsid w:val="00FE0D8E"/>
    <w:rsid w:val="00FE1545"/>
    <w:rsid w:val="00FE20EA"/>
    <w:rsid w:val="00FE275D"/>
    <w:rsid w:val="00FF0CC9"/>
    <w:rsid w:val="00FF10FC"/>
    <w:rsid w:val="00FF1B05"/>
    <w:rsid w:val="00FF48B3"/>
    <w:rsid w:val="00FF4D21"/>
    <w:rsid w:val="00FF7231"/>
    <w:rsid w:val="21824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5"/>
    <w:semiHidden/>
    <w:unhideWhenUsed/>
    <w:uiPriority w:val="99"/>
    <w:rPr>
      <w:sz w:val="18"/>
      <w:szCs w:val="18"/>
    </w:rPr>
  </w:style>
  <w:style w:type="paragraph" w:styleId="4">
    <w:name w:val="footer"/>
    <w:basedOn w:val="1"/>
    <w:link w:val="17"/>
    <w:unhideWhenUsed/>
    <w:uiPriority w:val="99"/>
    <w:pPr>
      <w:tabs>
        <w:tab w:val="center" w:pos="4153"/>
        <w:tab w:val="right" w:pos="8306"/>
      </w:tabs>
      <w:snapToGrid w:val="0"/>
      <w:jc w:val="left"/>
    </w:pPr>
    <w:rPr>
      <w:sz w:val="18"/>
      <w:szCs w:val="18"/>
    </w:rPr>
  </w:style>
  <w:style w:type="paragraph" w:styleId="5">
    <w:name w:val="header"/>
    <w:basedOn w:val="1"/>
    <w:link w:val="16"/>
    <w:unhideWhenUsed/>
    <w:uiPriority w:val="99"/>
    <w:pPr>
      <w:pBdr>
        <w:bottom w:val="single" w:color="auto" w:sz="6" w:space="1"/>
      </w:pBdr>
      <w:tabs>
        <w:tab w:val="center" w:pos="4153"/>
        <w:tab w:val="right" w:pos="8306"/>
      </w:tabs>
      <w:snapToGrid w:val="0"/>
      <w:jc w:val="center"/>
    </w:pPr>
    <w:rPr>
      <w:rFonts w:eastAsia="仿宋_GB2312"/>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4"/>
    <w:semiHidden/>
    <w:unhideWhenUsed/>
    <w:uiPriority w:val="99"/>
    <w:rPr>
      <w:b/>
      <w:bCs/>
    </w:rPr>
  </w:style>
  <w:style w:type="table" w:styleId="9">
    <w:name w:val="Table Grid"/>
    <w:basedOn w:val="8"/>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uiPriority w:val="99"/>
    <w:rPr>
      <w:sz w:val="21"/>
      <w:szCs w:val="21"/>
    </w:rPr>
  </w:style>
  <w:style w:type="paragraph" w:styleId="12">
    <w:name w:val="List Paragraph"/>
    <w:basedOn w:val="1"/>
    <w:qFormat/>
    <w:uiPriority w:val="34"/>
    <w:pPr>
      <w:ind w:firstLine="420" w:firstLineChars="200"/>
    </w:pPr>
  </w:style>
  <w:style w:type="character" w:customStyle="1" w:styleId="13">
    <w:name w:val="批注文字 字符"/>
    <w:basedOn w:val="10"/>
    <w:link w:val="2"/>
    <w:semiHidden/>
    <w:uiPriority w:val="99"/>
  </w:style>
  <w:style w:type="character" w:customStyle="1" w:styleId="14">
    <w:name w:val="批注主题 字符"/>
    <w:basedOn w:val="13"/>
    <w:link w:val="7"/>
    <w:semiHidden/>
    <w:uiPriority w:val="99"/>
    <w:rPr>
      <w:b/>
      <w:bCs/>
    </w:rPr>
  </w:style>
  <w:style w:type="character" w:customStyle="1" w:styleId="15">
    <w:name w:val="批注框文本 字符"/>
    <w:basedOn w:val="10"/>
    <w:link w:val="3"/>
    <w:semiHidden/>
    <w:uiPriority w:val="99"/>
    <w:rPr>
      <w:sz w:val="18"/>
      <w:szCs w:val="18"/>
    </w:rPr>
  </w:style>
  <w:style w:type="character" w:customStyle="1" w:styleId="16">
    <w:name w:val="页眉 字符"/>
    <w:basedOn w:val="10"/>
    <w:link w:val="5"/>
    <w:uiPriority w:val="99"/>
    <w:rPr>
      <w:rFonts w:eastAsia="仿宋_GB2312"/>
      <w:sz w:val="18"/>
      <w:szCs w:val="18"/>
    </w:rPr>
  </w:style>
  <w:style w:type="character" w:customStyle="1" w:styleId="17">
    <w:name w:val="页脚 字符"/>
    <w:basedOn w:val="10"/>
    <w:link w:val="4"/>
    <w:uiPriority w:val="99"/>
    <w:rPr>
      <w:sz w:val="18"/>
      <w:szCs w:val="18"/>
    </w:rPr>
  </w:style>
  <w:style w:type="paragraph" w:customStyle="1" w:styleId="18">
    <w:name w:val="列出段落1"/>
    <w:basedOn w:val="1"/>
    <w:qFormat/>
    <w:uiPriority w:val="34"/>
    <w:pPr>
      <w:ind w:firstLine="420" w:firstLineChars="200"/>
    </w:pPr>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614A56-713F-42F1-9F0A-27F06BC0D934}">
  <ds:schemaRefs/>
</ds:datastoreItem>
</file>

<file path=docProps/app.xml><?xml version="1.0" encoding="utf-8"?>
<Properties xmlns="http://schemas.openxmlformats.org/officeDocument/2006/extended-properties" xmlns:vt="http://schemas.openxmlformats.org/officeDocument/2006/docPropsVTypes">
  <Template>Normal</Template>
  <Company>chinapnr</Company>
  <Pages>15</Pages>
  <Words>3084</Words>
  <Characters>17580</Characters>
  <Lines>146</Lines>
  <Paragraphs>41</Paragraphs>
  <TotalTime>5</TotalTime>
  <ScaleCrop>false</ScaleCrop>
  <LinksUpToDate>false</LinksUpToDate>
  <CharactersWithSpaces>20623</CharactersWithSpaces>
  <Application>WPS Office_11.1.0.9914_F1E327BC-269C-435d-A152-05C5408002CA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2021-07-14T01:41:00Z</dcterms:created>
  <dc:creator>赖洁</dc:creator>
  <cp:lastModifiedBy>西游却东行</cp:lastModifiedBy>
  <cp:lastPrinted>2019-01-14T08:01:00Z</cp:lastPrinted>
  <dcterms:modified xsi:type="dcterms:W3CDTF">2021-07-21T02:49:53Z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2052-11.1.0.9914</vt:lpwstr>
  </property>
</Properties>
</file>