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cs="Times New Roman"/>
          <w:b/>
          <w:sz w:val="32"/>
          <w:szCs w:val="32"/>
        </w:rPr>
      </w:pPr>
      <w:bookmarkStart w:id="0" w:name="_Hlk31977543"/>
      <w:r>
        <w:rPr>
          <w:rFonts w:ascii="楷体" w:hAnsi="楷体" w:eastAsia="楷体" w:cs="Times New Roman"/>
          <w:b/>
          <w:sz w:val="32"/>
          <w:szCs w:val="32"/>
        </w:rPr>
        <w:t>综合支付业务服务协议</w:t>
      </w:r>
    </w:p>
    <w:p>
      <w:pPr>
        <w:wordWrap w:val="0"/>
        <w:jc w:val="right"/>
        <w:rPr>
          <w:rFonts w:ascii="楷体" w:hAnsi="楷体" w:eastAsia="楷体"/>
          <w:b/>
          <w:szCs w:val="21"/>
        </w:rPr>
      </w:pPr>
      <w:r>
        <w:rPr>
          <w:rFonts w:ascii="楷体" w:hAnsi="楷体" w:eastAsia="楷体"/>
          <w:b/>
          <w:szCs w:val="21"/>
        </w:rPr>
        <w:t>协议编号</w:t>
      </w:r>
      <w:r>
        <w:rPr>
          <w:rFonts w:hint="eastAsia" w:ascii="楷体" w:hAnsi="楷体" w:eastAsia="楷体"/>
          <w:b/>
          <w:szCs w:val="21"/>
        </w:rPr>
        <w:t>：</w:t>
      </w:r>
      <w:permStart w:id="0" w:edGrp="everyone"/>
      <w:r>
        <w:rPr>
          <w:rFonts w:hint="eastAsia" w:ascii="楷体" w:hAnsi="楷体" w:eastAsia="楷体"/>
          <w:b/>
          <w:szCs w:val="21"/>
        </w:rPr>
        <w:t xml:space="preserve"> </w:t>
      </w:r>
      <w:r>
        <w:rPr>
          <w:rFonts w:ascii="楷体" w:hAnsi="楷体" w:eastAsia="楷体"/>
          <w:b/>
          <w:szCs w:val="21"/>
        </w:rPr>
        <w:t xml:space="preserve">                 </w:t>
      </w:r>
      <w:permEnd w:id="0"/>
    </w:p>
    <w:p>
      <w:pPr>
        <w:ind w:firstLine="422" w:firstLineChars="200"/>
        <w:rPr>
          <w:rFonts w:ascii="楷体" w:hAnsi="楷体" w:eastAsia="楷体" w:cs="Times New Roman"/>
          <w:b/>
          <w:sz w:val="36"/>
          <w:szCs w:val="36"/>
        </w:rPr>
      </w:pPr>
      <w:r>
        <w:rPr>
          <w:rFonts w:hint="eastAsia" w:ascii="楷体" w:hAnsi="楷体" w:eastAsia="楷体"/>
          <w:b/>
          <w:szCs w:val="21"/>
        </w:rPr>
        <w:t>本综合支付业务服务协议由以下双方于</w:t>
      </w:r>
      <w:r>
        <w:rPr>
          <w:rFonts w:hint="eastAsia" w:ascii="楷体" w:hAnsi="楷体" w:eastAsia="楷体"/>
          <w:b/>
          <w:szCs w:val="21"/>
          <w:u w:val="single"/>
        </w:rPr>
        <w:t>上海市徐汇区</w:t>
      </w:r>
      <w:r>
        <w:rPr>
          <w:rFonts w:hint="eastAsia" w:ascii="楷体" w:hAnsi="楷体" w:eastAsia="楷体"/>
          <w:b/>
          <w:szCs w:val="21"/>
        </w:rPr>
        <w:t>签订。双方应通过友好协商解决本协议相关争议，否则，应向</w:t>
      </w:r>
      <w:r>
        <w:rPr>
          <w:rFonts w:hint="eastAsia" w:ascii="楷体" w:hAnsi="楷体" w:eastAsia="楷体"/>
          <w:b/>
          <w:szCs w:val="21"/>
          <w:u w:val="single"/>
        </w:rPr>
        <w:t>乙方住所地法院</w:t>
      </w:r>
      <w:r>
        <w:rPr>
          <w:rFonts w:hint="eastAsia" w:ascii="楷体" w:hAnsi="楷体" w:eastAsia="楷体"/>
          <w:b/>
          <w:szCs w:val="21"/>
        </w:rPr>
        <w:t>起诉。</w:t>
      </w:r>
    </w:p>
    <w:p>
      <w:pPr>
        <w:ind w:firstLine="420" w:firstLineChars="200"/>
        <w:rPr>
          <w:rFonts w:ascii="楷体_GB2312" w:eastAsia="楷体_GB2312"/>
          <w:szCs w:val="21"/>
        </w:rPr>
      </w:pPr>
      <w:r>
        <w:rPr>
          <w:rFonts w:hint="eastAsia" w:ascii="楷体_GB2312" w:eastAsia="楷体_GB2312"/>
          <w:szCs w:val="21"/>
        </w:rPr>
        <w:t>甲    方：</w:t>
      </w:r>
      <w:permStart w:id="1" w:edGrp="everyone"/>
      <w:r>
        <w:rPr>
          <w:rFonts w:hint="eastAsia" w:ascii="楷体_GB2312" w:eastAsia="楷体_GB2312"/>
          <w:szCs w:val="21"/>
        </w:rPr>
        <w:t xml:space="preserve">                        </w:t>
      </w:r>
      <w:permEnd w:id="1"/>
      <w:r>
        <w:rPr>
          <w:rFonts w:hint="eastAsia" w:ascii="楷体_GB2312" w:eastAsia="楷体_GB2312"/>
          <w:szCs w:val="21"/>
        </w:rPr>
        <w:t>（商户）</w:t>
      </w:r>
    </w:p>
    <w:p>
      <w:pPr>
        <w:ind w:firstLine="420" w:firstLineChars="200"/>
        <w:rPr>
          <w:rFonts w:ascii="楷体_GB2312" w:eastAsia="楷体_GB2312"/>
          <w:szCs w:val="21"/>
        </w:rPr>
      </w:pPr>
      <w:r>
        <w:rPr>
          <w:rFonts w:hint="eastAsia" w:ascii="楷体_GB2312" w:eastAsia="楷体_GB2312"/>
          <w:szCs w:val="21"/>
        </w:rPr>
        <w:t>地    址：</w:t>
      </w:r>
      <w:permStart w:id="2" w:edGrp="everyone"/>
      <w:r>
        <w:rPr>
          <w:rFonts w:hint="eastAsia" w:ascii="楷体_GB2312" w:eastAsia="楷体_GB2312"/>
          <w:szCs w:val="21"/>
        </w:rPr>
        <w:t xml:space="preserve">                        </w:t>
      </w:r>
      <w:permEnd w:id="2"/>
    </w:p>
    <w:p>
      <w:pPr>
        <w:ind w:firstLine="420" w:firstLineChars="200"/>
        <w:rPr>
          <w:rFonts w:ascii="楷体_GB2312" w:eastAsia="楷体_GB2312"/>
          <w:szCs w:val="21"/>
        </w:rPr>
      </w:pPr>
      <w:r>
        <w:rPr>
          <w:rFonts w:hint="eastAsia" w:ascii="楷体_GB2312" w:eastAsia="楷体_GB2312"/>
          <w:szCs w:val="21"/>
        </w:rPr>
        <w:t>乙    方：</w:t>
      </w:r>
      <w:r>
        <w:rPr>
          <w:rFonts w:hint="eastAsia" w:ascii="楷体_GB2312" w:eastAsia="楷体_GB2312"/>
          <w:b/>
          <w:szCs w:val="21"/>
        </w:rPr>
        <w:t>上海汇付数据服务有限公司</w:t>
      </w:r>
    </w:p>
    <w:p>
      <w:pPr>
        <w:ind w:firstLine="420" w:firstLineChars="200"/>
        <w:rPr>
          <w:rFonts w:ascii="楷体_GB2312" w:eastAsia="楷体_GB2312"/>
          <w:szCs w:val="21"/>
        </w:rPr>
      </w:pPr>
      <w:r>
        <w:rPr>
          <w:rFonts w:hint="eastAsia" w:ascii="楷体_GB2312" w:eastAsia="楷体_GB2312"/>
          <w:szCs w:val="21"/>
        </w:rPr>
        <w:t>地    址：</w:t>
      </w:r>
      <w:r>
        <w:rPr>
          <w:rFonts w:ascii="楷体_GB2312" w:eastAsia="楷体_GB2312"/>
          <w:szCs w:val="21"/>
        </w:rPr>
        <w:t>上海市宜山路700号普天产业园2期C5栋</w:t>
      </w:r>
      <w:r>
        <w:rPr>
          <w:rFonts w:hint="eastAsia" w:ascii="楷体_GB2312" w:eastAsia="楷体_GB2312"/>
          <w:szCs w:val="21"/>
        </w:rPr>
        <w:t xml:space="preserve">  联系电话：021－33323999</w:t>
      </w:r>
    </w:p>
    <w:tbl>
      <w:tblPr>
        <w:tblStyle w:val="8"/>
        <w:tblpPr w:leftFromText="180" w:rightFromText="180" w:vertAnchor="text" w:horzAnchor="margin" w:tblpY="103"/>
        <w:tblW w:w="5000" w:type="pct"/>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autofit"/>
        <w:tblCellMar>
          <w:top w:w="0" w:type="dxa"/>
          <w:left w:w="108" w:type="dxa"/>
          <w:bottom w:w="0" w:type="dxa"/>
          <w:right w:w="108" w:type="dxa"/>
        </w:tblCellMar>
      </w:tblPr>
      <w:tblGrid>
        <w:gridCol w:w="435"/>
        <w:gridCol w:w="1068"/>
        <w:gridCol w:w="1028"/>
        <w:gridCol w:w="767"/>
        <w:gridCol w:w="756"/>
        <w:gridCol w:w="1158"/>
        <w:gridCol w:w="716"/>
        <w:gridCol w:w="1448"/>
        <w:gridCol w:w="3612"/>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274" w:hRule="atLeast"/>
        </w:trPr>
        <w:tc>
          <w:tcPr>
            <w:tcW w:w="198" w:type="pct"/>
            <w:vMerge w:val="restart"/>
            <w:vAlign w:val="center"/>
          </w:tcPr>
          <w:p>
            <w:pPr>
              <w:jc w:val="center"/>
              <w:rPr>
                <w:rFonts w:ascii="楷体" w:hAnsi="楷体" w:eastAsia="楷体"/>
                <w:szCs w:val="21"/>
              </w:rPr>
            </w:pPr>
            <w:r>
              <w:rPr>
                <w:rFonts w:hint="eastAsia" w:ascii="楷体" w:hAnsi="楷体" w:eastAsia="楷体"/>
                <w:szCs w:val="21"/>
              </w:rPr>
              <w:t>甲方信息</w:t>
            </w:r>
          </w:p>
        </w:tc>
        <w:tc>
          <w:tcPr>
            <w:tcW w:w="954" w:type="pct"/>
            <w:gridSpan w:val="2"/>
            <w:vAlign w:val="center"/>
          </w:tcPr>
          <w:p>
            <w:pPr>
              <w:jc w:val="center"/>
              <w:rPr>
                <w:rFonts w:ascii="楷体" w:hAnsi="楷体" w:eastAsia="楷体"/>
                <w:szCs w:val="21"/>
              </w:rPr>
            </w:pPr>
            <w:r>
              <w:rPr>
                <w:rFonts w:hint="eastAsia" w:ascii="楷体" w:hAnsi="楷体" w:eastAsia="楷体"/>
                <w:szCs w:val="21"/>
              </w:rPr>
              <w:t>开户名称</w:t>
            </w:r>
          </w:p>
        </w:tc>
        <w:tc>
          <w:tcPr>
            <w:tcW w:w="1220" w:type="pct"/>
            <w:gridSpan w:val="3"/>
            <w:vAlign w:val="center"/>
          </w:tcPr>
          <w:p>
            <w:pPr>
              <w:jc w:val="center"/>
              <w:rPr>
                <w:rFonts w:ascii="楷体" w:hAnsi="楷体" w:eastAsia="楷体"/>
                <w:szCs w:val="21"/>
              </w:rPr>
            </w:pPr>
            <w:permStart w:id="3" w:edGrp="everyone"/>
            <w:r>
              <w:rPr>
                <w:rFonts w:hint="eastAsia" w:ascii="楷体" w:hAnsi="楷体" w:eastAsia="楷体"/>
                <w:szCs w:val="21"/>
              </w:rPr>
              <w:t xml:space="preserve"> </w:t>
            </w:r>
            <w:r>
              <w:rPr>
                <w:rFonts w:ascii="楷体" w:hAnsi="楷体" w:eastAsia="楷体"/>
                <w:szCs w:val="21"/>
              </w:rPr>
              <w:t xml:space="preserve">      </w:t>
            </w:r>
            <w:permEnd w:id="3"/>
          </w:p>
        </w:tc>
        <w:tc>
          <w:tcPr>
            <w:tcW w:w="985" w:type="pct"/>
            <w:gridSpan w:val="2"/>
            <w:vAlign w:val="center"/>
          </w:tcPr>
          <w:p>
            <w:pPr>
              <w:jc w:val="center"/>
              <w:rPr>
                <w:rFonts w:ascii="楷体" w:hAnsi="楷体" w:eastAsia="楷体"/>
                <w:szCs w:val="21"/>
              </w:rPr>
            </w:pPr>
            <w:r>
              <w:rPr>
                <w:rFonts w:hint="eastAsia" w:ascii="楷体" w:hAnsi="楷体" w:eastAsia="楷体"/>
                <w:szCs w:val="21"/>
              </w:rPr>
              <w:t>银行账号</w:t>
            </w:r>
          </w:p>
        </w:tc>
        <w:tc>
          <w:tcPr>
            <w:tcW w:w="1643" w:type="pct"/>
            <w:vAlign w:val="center"/>
          </w:tcPr>
          <w:p>
            <w:pPr>
              <w:jc w:val="center"/>
              <w:rPr>
                <w:rFonts w:ascii="楷体" w:hAnsi="楷体" w:eastAsia="楷体"/>
                <w:szCs w:val="21"/>
              </w:rPr>
            </w:pPr>
            <w:permStart w:id="4" w:edGrp="everyone"/>
            <w:r>
              <w:rPr>
                <w:rFonts w:ascii="楷体" w:hAnsi="楷体" w:eastAsia="楷体"/>
                <w:szCs w:val="21"/>
              </w:rPr>
              <w:t xml:space="preserve">       </w:t>
            </w:r>
            <w:permEnd w:id="4"/>
            <w:r>
              <w:rPr>
                <w:rFonts w:hint="eastAsia" w:ascii="楷体" w:hAnsi="楷体" w:eastAsia="楷体"/>
                <w:sz w:val="18"/>
                <w:szCs w:val="18"/>
              </w:rPr>
              <w:t>（即取现/结算账号）</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274"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 xml:space="preserve">开户银行 </w:t>
            </w:r>
          </w:p>
        </w:tc>
        <w:tc>
          <w:tcPr>
            <w:tcW w:w="1220" w:type="pct"/>
            <w:gridSpan w:val="3"/>
            <w:vAlign w:val="center"/>
          </w:tcPr>
          <w:p>
            <w:pPr>
              <w:jc w:val="center"/>
              <w:rPr>
                <w:rFonts w:ascii="楷体" w:hAnsi="楷体" w:eastAsia="楷体"/>
                <w:szCs w:val="21"/>
              </w:rPr>
            </w:pPr>
            <w:permStart w:id="5" w:edGrp="everyone"/>
            <w:r>
              <w:rPr>
                <w:rFonts w:ascii="楷体" w:hAnsi="楷体" w:eastAsia="楷体"/>
                <w:szCs w:val="21"/>
              </w:rPr>
              <w:t xml:space="preserve">       </w:t>
            </w:r>
            <w:permEnd w:id="5"/>
          </w:p>
        </w:tc>
        <w:tc>
          <w:tcPr>
            <w:tcW w:w="985" w:type="pct"/>
            <w:gridSpan w:val="2"/>
            <w:vAlign w:val="center"/>
          </w:tcPr>
          <w:p>
            <w:pPr>
              <w:jc w:val="center"/>
              <w:rPr>
                <w:rFonts w:ascii="楷体" w:hAnsi="楷体" w:eastAsia="楷体"/>
                <w:szCs w:val="21"/>
              </w:rPr>
            </w:pPr>
            <w:r>
              <w:rPr>
                <w:rFonts w:hint="eastAsia" w:ascii="楷体" w:hAnsi="楷体" w:eastAsia="楷体"/>
                <w:szCs w:val="21"/>
              </w:rPr>
              <w:t>联系人</w:t>
            </w:r>
          </w:p>
        </w:tc>
        <w:tc>
          <w:tcPr>
            <w:tcW w:w="1643" w:type="pct"/>
            <w:vAlign w:val="center"/>
          </w:tcPr>
          <w:p>
            <w:pPr>
              <w:jc w:val="right"/>
              <w:rPr>
                <w:rFonts w:ascii="楷体" w:hAnsi="楷体" w:eastAsia="楷体"/>
                <w:szCs w:val="21"/>
              </w:rPr>
            </w:pPr>
            <w:permStart w:id="6" w:edGrp="everyone"/>
            <w:r>
              <w:rPr>
                <w:rFonts w:hint="eastAsia" w:ascii="楷体" w:hAnsi="楷体" w:eastAsia="楷体"/>
                <w:szCs w:val="21"/>
              </w:rPr>
              <w:t xml:space="preserve"> </w:t>
            </w:r>
            <w:r>
              <w:rPr>
                <w:rFonts w:ascii="楷体" w:hAnsi="楷体" w:eastAsia="楷体"/>
                <w:szCs w:val="21"/>
              </w:rPr>
              <w:t xml:space="preserve">      </w:t>
            </w:r>
            <w:permEnd w:id="6"/>
            <w:r>
              <w:rPr>
                <w:rFonts w:hint="eastAsia" w:ascii="楷体" w:hAnsi="楷体" w:eastAsia="楷体"/>
                <w:sz w:val="18"/>
                <w:szCs w:val="18"/>
              </w:rPr>
              <w:t>（即调单联系人）</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274"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电子邮箱</w:t>
            </w:r>
          </w:p>
        </w:tc>
        <w:tc>
          <w:tcPr>
            <w:tcW w:w="1220" w:type="pct"/>
            <w:gridSpan w:val="3"/>
            <w:vAlign w:val="center"/>
          </w:tcPr>
          <w:p>
            <w:pPr>
              <w:ind w:right="840"/>
              <w:rPr>
                <w:rFonts w:ascii="楷体" w:hAnsi="楷体" w:eastAsia="楷体"/>
                <w:sz w:val="18"/>
                <w:szCs w:val="18"/>
              </w:rPr>
            </w:pPr>
            <w:permStart w:id="7" w:edGrp="everyone"/>
            <w:r>
              <w:rPr>
                <w:rFonts w:ascii="楷体" w:hAnsi="楷体" w:eastAsia="楷体"/>
                <w:szCs w:val="21"/>
              </w:rPr>
              <w:t xml:space="preserve">              </w:t>
            </w:r>
            <w:permEnd w:id="7"/>
          </w:p>
        </w:tc>
        <w:tc>
          <w:tcPr>
            <w:tcW w:w="985" w:type="pct"/>
            <w:gridSpan w:val="2"/>
            <w:vAlign w:val="center"/>
          </w:tcPr>
          <w:p>
            <w:pPr>
              <w:jc w:val="center"/>
              <w:rPr>
                <w:rFonts w:ascii="楷体" w:hAnsi="楷体" w:eastAsia="楷体"/>
                <w:szCs w:val="21"/>
              </w:rPr>
            </w:pPr>
            <w:r>
              <w:rPr>
                <w:rFonts w:hint="eastAsia" w:ascii="楷体" w:hAnsi="楷体" w:eastAsia="楷体"/>
                <w:szCs w:val="21"/>
              </w:rPr>
              <w:t>移动电话</w:t>
            </w:r>
          </w:p>
        </w:tc>
        <w:tc>
          <w:tcPr>
            <w:tcW w:w="1643" w:type="pct"/>
            <w:vAlign w:val="center"/>
          </w:tcPr>
          <w:p>
            <w:pPr>
              <w:jc w:val="center"/>
              <w:rPr>
                <w:rFonts w:ascii="楷体" w:hAnsi="楷体" w:eastAsia="楷体"/>
                <w:szCs w:val="21"/>
              </w:rPr>
            </w:pPr>
            <w:permStart w:id="8" w:edGrp="everyone"/>
            <w:r>
              <w:rPr>
                <w:rFonts w:ascii="楷体" w:hAnsi="楷体" w:eastAsia="楷体"/>
                <w:szCs w:val="21"/>
              </w:rPr>
              <w:t xml:space="preserve">       </w:t>
            </w:r>
            <w:permEnd w:id="8"/>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装机场所类别</w:t>
            </w:r>
          </w:p>
        </w:tc>
        <w:tc>
          <w:tcPr>
            <w:tcW w:w="1220" w:type="pct"/>
            <w:gridSpan w:val="3"/>
            <w:vAlign w:val="center"/>
          </w:tcPr>
          <w:p>
            <w:pPr>
              <w:jc w:val="center"/>
              <w:rPr>
                <w:rFonts w:ascii="楷体" w:hAnsi="楷体" w:eastAsia="楷体"/>
                <w:szCs w:val="21"/>
              </w:rPr>
            </w:pPr>
            <w:permStart w:id="9" w:edGrp="everyone"/>
            <w:r>
              <w:rPr>
                <w:rFonts w:hint="eastAsia" w:ascii="楷体" w:hAnsi="楷体" w:eastAsia="楷体"/>
                <w:szCs w:val="21"/>
              </w:rPr>
              <w:sym w:font="Wingdings" w:char="F0A8"/>
            </w:r>
            <w:permEnd w:id="9"/>
            <w:r>
              <w:rPr>
                <w:rFonts w:hint="eastAsia" w:ascii="楷体" w:hAnsi="楷体" w:eastAsia="楷体"/>
                <w:szCs w:val="21"/>
              </w:rPr>
              <w:t xml:space="preserve">多店       </w:t>
            </w:r>
            <w:permStart w:id="10" w:edGrp="everyone"/>
            <w:r>
              <w:rPr>
                <w:rFonts w:hint="eastAsia" w:ascii="楷体" w:hAnsi="楷体" w:eastAsia="楷体"/>
                <w:szCs w:val="21"/>
              </w:rPr>
              <w:sym w:font="Wingdings" w:char="F0A8"/>
            </w:r>
            <w:permEnd w:id="10"/>
            <w:r>
              <w:rPr>
                <w:rFonts w:hint="eastAsia" w:ascii="楷体" w:hAnsi="楷体" w:eastAsia="楷体"/>
                <w:szCs w:val="21"/>
              </w:rPr>
              <w:t>单店</w:t>
            </w:r>
          </w:p>
        </w:tc>
        <w:tc>
          <w:tcPr>
            <w:tcW w:w="985" w:type="pct"/>
            <w:gridSpan w:val="2"/>
            <w:vAlign w:val="center"/>
          </w:tcPr>
          <w:p>
            <w:pPr>
              <w:jc w:val="center"/>
              <w:rPr>
                <w:rFonts w:ascii="楷体" w:hAnsi="楷体" w:eastAsia="楷体"/>
                <w:szCs w:val="21"/>
              </w:rPr>
            </w:pPr>
            <w:r>
              <w:rPr>
                <w:rFonts w:hint="eastAsia" w:ascii="楷体" w:hAnsi="楷体" w:eastAsia="楷体"/>
                <w:szCs w:val="21"/>
              </w:rPr>
              <w:t>办公电话</w:t>
            </w:r>
          </w:p>
        </w:tc>
        <w:tc>
          <w:tcPr>
            <w:tcW w:w="1643" w:type="pct"/>
            <w:vAlign w:val="center"/>
          </w:tcPr>
          <w:p>
            <w:pPr>
              <w:jc w:val="center"/>
              <w:rPr>
                <w:rFonts w:ascii="楷体" w:hAnsi="楷体" w:eastAsia="楷体"/>
                <w:szCs w:val="21"/>
              </w:rPr>
            </w:pPr>
            <w:permStart w:id="11" w:edGrp="everyone"/>
            <w:r>
              <w:rPr>
                <w:rFonts w:ascii="楷体" w:hAnsi="楷体" w:eastAsia="楷体"/>
                <w:szCs w:val="21"/>
              </w:rPr>
              <w:t xml:space="preserve">       </w:t>
            </w:r>
            <w:permEnd w:id="1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jc w:val="center"/>
              <w:rPr>
                <w:rFonts w:ascii="楷体" w:hAnsi="楷体" w:eastAsia="楷体"/>
                <w:szCs w:val="21"/>
              </w:rPr>
            </w:pPr>
            <w:r>
              <w:rPr>
                <w:rFonts w:hint="eastAsia" w:ascii="楷体" w:hAnsi="楷体" w:eastAsia="楷体"/>
                <w:szCs w:val="21"/>
              </w:rPr>
              <w:t>引荐方名称/姓名</w:t>
            </w:r>
          </w:p>
        </w:tc>
        <w:tc>
          <w:tcPr>
            <w:tcW w:w="1220" w:type="pct"/>
            <w:gridSpan w:val="3"/>
            <w:tcBorders>
              <w:right w:val="single" w:color="auto" w:sz="4" w:space="0"/>
            </w:tcBorders>
            <w:vAlign w:val="center"/>
          </w:tcPr>
          <w:p>
            <w:pPr>
              <w:jc w:val="center"/>
              <w:rPr>
                <w:rFonts w:ascii="楷体" w:hAnsi="楷体" w:eastAsia="楷体"/>
                <w:szCs w:val="21"/>
              </w:rPr>
            </w:pPr>
            <w:permStart w:id="12" w:edGrp="everyone"/>
            <w:r>
              <w:rPr>
                <w:rFonts w:ascii="楷体" w:hAnsi="楷体" w:eastAsia="楷体"/>
                <w:szCs w:val="21"/>
              </w:rPr>
              <w:t xml:space="preserve">       </w:t>
            </w:r>
            <w:permEnd w:id="12"/>
          </w:p>
        </w:tc>
        <w:tc>
          <w:tcPr>
            <w:tcW w:w="985" w:type="pct"/>
            <w:gridSpan w:val="2"/>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szCs w:val="21"/>
              </w:rPr>
            </w:pPr>
            <w:permStart w:id="13" w:edGrp="everyone"/>
            <w:r>
              <w:rPr>
                <w:rFonts w:hint="eastAsia" w:ascii="楷体" w:hAnsi="楷体" w:eastAsia="楷体"/>
                <w:szCs w:val="21"/>
              </w:rPr>
              <w:sym w:font="Wingdings" w:char="F0A8"/>
            </w:r>
            <w:permEnd w:id="13"/>
            <w:r>
              <w:rPr>
                <w:rFonts w:hint="eastAsia" w:ascii="楷体" w:hAnsi="楷体" w:eastAsia="楷体"/>
                <w:szCs w:val="21"/>
              </w:rPr>
              <w:t xml:space="preserve">合作商 </w:t>
            </w:r>
            <w:permStart w:id="14" w:edGrp="everyone"/>
            <w:r>
              <w:rPr>
                <w:rFonts w:hint="eastAsia" w:ascii="楷体" w:hAnsi="楷体" w:eastAsia="楷体"/>
                <w:szCs w:val="21"/>
              </w:rPr>
              <w:sym w:font="Wingdings" w:char="F0A8"/>
            </w:r>
            <w:permEnd w:id="14"/>
            <w:r>
              <w:rPr>
                <w:rFonts w:hint="eastAsia" w:ascii="楷体" w:hAnsi="楷体" w:eastAsia="楷体"/>
                <w:szCs w:val="21"/>
              </w:rPr>
              <w:t xml:space="preserve">业务员  </w:t>
            </w:r>
          </w:p>
        </w:tc>
        <w:tc>
          <w:tcPr>
            <w:tcW w:w="1643" w:type="pct"/>
            <w:tcBorders>
              <w:top w:val="single" w:color="auto" w:sz="4" w:space="0"/>
              <w:left w:val="single" w:color="auto" w:sz="4" w:space="0"/>
              <w:bottom w:val="single" w:color="auto" w:sz="4" w:space="0"/>
              <w:right w:val="single" w:color="auto" w:sz="4" w:space="0"/>
            </w:tcBorders>
            <w:vAlign w:val="center"/>
          </w:tcPr>
          <w:p>
            <w:pPr>
              <w:jc w:val="center"/>
              <w:rPr>
                <w:rFonts w:ascii="楷体" w:hAnsi="楷体" w:eastAsia="楷体"/>
                <w:szCs w:val="21"/>
              </w:rPr>
            </w:pPr>
            <w:permStart w:id="15" w:edGrp="everyone"/>
            <w:r>
              <w:rPr>
                <w:rFonts w:ascii="楷体" w:hAnsi="楷体" w:eastAsia="楷体"/>
                <w:szCs w:val="21"/>
              </w:rPr>
              <w:t xml:space="preserve">       </w:t>
            </w:r>
            <w:permEnd w:id="15"/>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restart"/>
            <w:vAlign w:val="center"/>
          </w:tcPr>
          <w:p>
            <w:pPr>
              <w:jc w:val="center"/>
              <w:rPr>
                <w:rFonts w:ascii="楷体" w:hAnsi="楷体" w:eastAsia="楷体"/>
                <w:szCs w:val="21"/>
              </w:rPr>
            </w:pPr>
            <w:r>
              <w:rPr>
                <w:rFonts w:hint="eastAsia" w:ascii="楷体" w:hAnsi="楷体" w:eastAsia="楷体"/>
                <w:szCs w:val="21"/>
              </w:rPr>
              <w:t>产品</w:t>
            </w:r>
          </w:p>
          <w:p>
            <w:pPr>
              <w:jc w:val="center"/>
              <w:rPr>
                <w:rFonts w:ascii="楷体" w:hAnsi="楷体" w:eastAsia="楷体"/>
                <w:szCs w:val="21"/>
              </w:rPr>
            </w:pPr>
            <w:r>
              <w:rPr>
                <w:rFonts w:hint="eastAsia" w:ascii="楷体" w:hAnsi="楷体" w:eastAsia="楷体"/>
                <w:szCs w:val="21"/>
              </w:rPr>
              <w:t>信息</w:t>
            </w:r>
          </w:p>
          <w:p>
            <w:pPr>
              <w:jc w:val="center"/>
              <w:rPr>
                <w:rFonts w:ascii="楷体" w:hAnsi="楷体" w:eastAsia="楷体"/>
                <w:szCs w:val="21"/>
              </w:rPr>
            </w:pPr>
            <w:r>
              <w:rPr>
                <w:rFonts w:hint="eastAsia" w:ascii="楷体" w:hAnsi="楷体" w:eastAsia="楷体"/>
                <w:szCs w:val="21"/>
              </w:rPr>
              <w:t>登记</w:t>
            </w:r>
          </w:p>
          <w:p>
            <w:pPr>
              <w:jc w:val="center"/>
              <w:rPr>
                <w:rFonts w:ascii="楷体" w:hAnsi="楷体" w:eastAsia="楷体"/>
                <w:szCs w:val="21"/>
              </w:rPr>
            </w:pPr>
            <w:r>
              <w:rPr>
                <w:rFonts w:hint="eastAsia" w:ascii="楷体" w:hAnsi="楷体" w:eastAsia="楷体"/>
                <w:szCs w:val="21"/>
              </w:rPr>
              <w:t>表</w:t>
            </w:r>
          </w:p>
        </w:tc>
        <w:tc>
          <w:tcPr>
            <w:tcW w:w="486" w:type="pct"/>
            <w:vMerge w:val="restart"/>
            <w:vAlign w:val="center"/>
          </w:tcPr>
          <w:p>
            <w:pPr>
              <w:jc w:val="center"/>
              <w:rPr>
                <w:rFonts w:ascii="楷体" w:hAnsi="楷体" w:eastAsia="楷体"/>
                <w:szCs w:val="21"/>
              </w:rPr>
            </w:pPr>
            <w:r>
              <w:rPr>
                <w:rFonts w:ascii="楷体" w:hAnsi="楷体" w:eastAsia="楷体"/>
                <w:szCs w:val="21"/>
              </w:rPr>
              <w:t>银行卡收单</w:t>
            </w:r>
          </w:p>
        </w:tc>
        <w:tc>
          <w:tcPr>
            <w:tcW w:w="468" w:type="pct"/>
            <w:vMerge w:val="restart"/>
            <w:vAlign w:val="center"/>
          </w:tcPr>
          <w:p>
            <w:pPr>
              <w:jc w:val="center"/>
              <w:rPr>
                <w:rFonts w:ascii="楷体" w:hAnsi="楷体" w:eastAsia="楷体"/>
                <w:szCs w:val="21"/>
              </w:rPr>
            </w:pPr>
            <w:r>
              <w:rPr>
                <w:rFonts w:hint="eastAsia" w:ascii="楷体" w:hAnsi="楷体" w:eastAsia="楷体"/>
                <w:szCs w:val="21"/>
              </w:rPr>
              <w:t>常规</w:t>
            </w:r>
          </w:p>
          <w:p>
            <w:pPr>
              <w:jc w:val="center"/>
              <w:rPr>
                <w:rFonts w:ascii="楷体" w:hAnsi="楷体" w:eastAsia="楷体"/>
                <w:szCs w:val="21"/>
              </w:rPr>
            </w:pPr>
            <w:r>
              <w:rPr>
                <w:rFonts w:hint="eastAsia" w:ascii="楷体" w:hAnsi="楷体" w:eastAsia="楷体"/>
                <w:szCs w:val="21"/>
              </w:rPr>
              <w:t>业务</w:t>
            </w:r>
          </w:p>
        </w:tc>
        <w:tc>
          <w:tcPr>
            <w:tcW w:w="693" w:type="pct"/>
            <w:gridSpan w:val="2"/>
            <w:vAlign w:val="center"/>
          </w:tcPr>
          <w:p>
            <w:pPr>
              <w:jc w:val="left"/>
              <w:rPr>
                <w:rFonts w:ascii="楷体" w:hAnsi="楷体" w:eastAsia="楷体"/>
                <w:szCs w:val="21"/>
              </w:rPr>
            </w:pPr>
            <w:r>
              <w:rPr>
                <w:rFonts w:hint="eastAsia" w:ascii="楷体" w:hAnsi="楷体" w:eastAsia="楷体"/>
                <w:szCs w:val="21"/>
              </w:rPr>
              <w:t>银行卡支付</w:t>
            </w:r>
          </w:p>
        </w:tc>
        <w:tc>
          <w:tcPr>
            <w:tcW w:w="1512" w:type="pct"/>
            <w:gridSpan w:val="3"/>
            <w:tcBorders>
              <w:top w:val="single" w:color="auto" w:sz="4" w:space="0"/>
              <w:right w:val="single" w:color="auto" w:sz="4" w:space="0"/>
            </w:tcBorders>
            <w:vAlign w:val="center"/>
          </w:tcPr>
          <w:p>
            <w:pPr>
              <w:rPr>
                <w:rFonts w:ascii="楷体" w:hAnsi="楷体" w:eastAsia="楷体"/>
                <w:color w:val="FF0000"/>
                <w:szCs w:val="21"/>
              </w:rPr>
            </w:pPr>
            <w:permStart w:id="16" w:edGrp="everyone"/>
            <w:r>
              <w:rPr>
                <w:rFonts w:hint="eastAsia" w:ascii="楷体_GB2312" w:hAnsi="Times New Roman" w:eastAsia="楷体_GB2312" w:cs="Times New Roman"/>
                <w:szCs w:val="21"/>
              </w:rPr>
              <w:sym w:font="Wingdings" w:char="F06F"/>
            </w:r>
            <w:permEnd w:id="16"/>
            <w:r>
              <w:rPr>
                <w:rFonts w:hint="eastAsia" w:ascii="楷体" w:hAnsi="楷体" w:eastAsia="楷体"/>
                <w:szCs w:val="21"/>
              </w:rPr>
              <w:t>贷记卡</w:t>
            </w:r>
            <w:permStart w:id="17" w:edGrp="everyone"/>
            <w:r>
              <w:rPr>
                <w:rFonts w:ascii="楷体" w:hAnsi="楷体" w:eastAsia="楷体"/>
                <w:szCs w:val="21"/>
                <w:u w:val="single"/>
              </w:rPr>
              <w:t xml:space="preserve"> </w:t>
            </w:r>
            <w:r>
              <w:rPr>
                <w:rFonts w:hint="eastAsia" w:ascii="楷体" w:hAnsi="楷体" w:eastAsia="楷体"/>
                <w:szCs w:val="21"/>
                <w:u w:val="single"/>
                <w:lang w:val="en-US" w:eastAsia="zh-CN"/>
              </w:rPr>
              <w:t>0.6</w:t>
            </w:r>
            <w:r>
              <w:rPr>
                <w:rFonts w:ascii="楷体" w:hAnsi="楷体" w:eastAsia="楷体"/>
                <w:szCs w:val="21"/>
                <w:u w:val="single"/>
              </w:rPr>
              <w:t xml:space="preserve"> </w:t>
            </w:r>
            <w:r>
              <w:rPr>
                <w:rFonts w:hint="eastAsia" w:ascii="楷体" w:hAnsi="楷体" w:eastAsia="楷体"/>
                <w:szCs w:val="21"/>
                <w:u w:val="single"/>
              </w:rPr>
              <w:t>%</w:t>
            </w:r>
            <w:permEnd w:id="17"/>
          </w:p>
        </w:tc>
        <w:tc>
          <w:tcPr>
            <w:tcW w:w="1643" w:type="pct"/>
            <w:tcBorders>
              <w:top w:val="single" w:color="auto" w:sz="4" w:space="0"/>
              <w:left w:val="single" w:color="auto" w:sz="4" w:space="0"/>
            </w:tcBorders>
            <w:vAlign w:val="center"/>
          </w:tcPr>
          <w:p>
            <w:pPr>
              <w:rPr>
                <w:rFonts w:ascii="楷体" w:hAnsi="楷体" w:eastAsia="楷体"/>
                <w:color w:val="FF0000"/>
                <w:szCs w:val="21"/>
              </w:rPr>
            </w:pPr>
            <w:permStart w:id="18" w:edGrp="everyone"/>
            <w:r>
              <w:rPr>
                <w:rFonts w:hint="eastAsia" w:ascii="楷体_GB2312" w:hAnsi="Times New Roman" w:eastAsia="楷体_GB2312" w:cs="Times New Roman"/>
                <w:szCs w:val="21"/>
              </w:rPr>
              <w:sym w:font="Wingdings" w:char="F06F"/>
            </w:r>
            <w:permEnd w:id="18"/>
            <w:r>
              <w:rPr>
                <w:rFonts w:hint="eastAsia" w:ascii="楷体" w:hAnsi="楷体" w:eastAsia="楷体"/>
                <w:szCs w:val="21"/>
              </w:rPr>
              <w:t>借记卡</w:t>
            </w:r>
            <w:permStart w:id="19" w:edGrp="everyone"/>
            <w:r>
              <w:rPr>
                <w:rFonts w:ascii="楷体" w:hAnsi="楷体" w:eastAsia="楷体"/>
                <w:szCs w:val="21"/>
                <w:u w:val="single"/>
              </w:rPr>
              <w:t xml:space="preserve"> </w:t>
            </w:r>
            <w:r>
              <w:rPr>
                <w:rFonts w:hint="eastAsia" w:ascii="楷体" w:hAnsi="楷体" w:eastAsia="楷体"/>
                <w:szCs w:val="21"/>
                <w:u w:val="single"/>
                <w:lang w:val="en-US" w:eastAsia="zh-CN"/>
              </w:rPr>
              <w:t>0.5</w:t>
            </w:r>
            <w:r>
              <w:rPr>
                <w:rFonts w:hint="eastAsia" w:ascii="楷体" w:hAnsi="楷体" w:eastAsia="楷体"/>
                <w:szCs w:val="21"/>
                <w:u w:val="single"/>
              </w:rPr>
              <w:t>%</w:t>
            </w:r>
            <w:permEnd w:id="19"/>
            <w:r>
              <w:rPr>
                <w:rFonts w:hint="eastAsia" w:ascii="楷体" w:hAnsi="楷体" w:eastAsia="楷体"/>
                <w:szCs w:val="21"/>
              </w:rPr>
              <w:t>（每笔</w:t>
            </w:r>
            <w:permStart w:id="20" w:edGrp="everyone"/>
            <w:r>
              <w:rPr>
                <w:rFonts w:ascii="楷体" w:hAnsi="楷体" w:eastAsia="楷体"/>
                <w:szCs w:val="21"/>
                <w:u w:val="single"/>
              </w:rPr>
              <w:t xml:space="preserve"> </w:t>
            </w:r>
            <w:r>
              <w:rPr>
                <w:rFonts w:hint="eastAsia" w:ascii="楷体" w:hAnsi="楷体" w:eastAsia="楷体"/>
                <w:szCs w:val="21"/>
                <w:u w:val="single"/>
                <w:lang w:val="en-US" w:eastAsia="zh-CN"/>
              </w:rPr>
              <w:t>21</w:t>
            </w:r>
            <w:r>
              <w:rPr>
                <w:rFonts w:ascii="楷体" w:hAnsi="楷体" w:eastAsia="楷体"/>
                <w:szCs w:val="21"/>
                <w:u w:val="single"/>
              </w:rPr>
              <w:t xml:space="preserve"> </w:t>
            </w:r>
            <w:permEnd w:id="20"/>
            <w:r>
              <w:rPr>
                <w:rFonts w:hint="eastAsia" w:ascii="楷体" w:hAnsi="楷体" w:eastAsia="楷体"/>
                <w:szCs w:val="21"/>
              </w:rPr>
              <w:t>元封顶）</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35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restart"/>
            <w:tcBorders>
              <w:right w:val="single" w:color="auto" w:sz="4" w:space="0"/>
            </w:tcBorders>
            <w:vAlign w:val="center"/>
          </w:tcPr>
          <w:p>
            <w:pPr>
              <w:jc w:val="left"/>
              <w:rPr>
                <w:rFonts w:ascii="楷体" w:hAnsi="楷体" w:eastAsia="楷体"/>
                <w:szCs w:val="21"/>
                <w:u w:val="single"/>
              </w:rPr>
            </w:pPr>
            <w:r>
              <w:rPr>
                <w:rFonts w:hint="eastAsia" w:ascii="楷体" w:hAnsi="楷体" w:eastAsia="楷体"/>
                <w:szCs w:val="21"/>
              </w:rPr>
              <w:t>条码支付*</w:t>
            </w:r>
          </w:p>
        </w:tc>
        <w:tc>
          <w:tcPr>
            <w:tcW w:w="1512" w:type="pct"/>
            <w:gridSpan w:val="3"/>
            <w:tcBorders>
              <w:left w:val="single" w:color="auto" w:sz="4" w:space="0"/>
            </w:tcBorders>
            <w:vAlign w:val="center"/>
          </w:tcPr>
          <w:p>
            <w:pPr>
              <w:rPr>
                <w:rFonts w:ascii="楷体" w:hAnsi="楷体" w:eastAsia="楷体"/>
                <w:szCs w:val="21"/>
                <w:u w:val="single"/>
              </w:rPr>
            </w:pPr>
            <w:permStart w:id="21" w:edGrp="everyone"/>
            <w:r>
              <w:rPr>
                <w:rFonts w:hint="eastAsia" w:ascii="楷体_GB2312" w:hAnsi="Times New Roman" w:eastAsia="楷体_GB2312" w:cs="Times New Roman"/>
                <w:szCs w:val="21"/>
              </w:rPr>
              <w:sym w:font="Wingdings" w:char="F06F"/>
            </w:r>
            <w:permEnd w:id="21"/>
            <w:r>
              <w:rPr>
                <w:rFonts w:hint="eastAsia" w:ascii="楷体" w:hAnsi="楷体" w:eastAsia="楷体"/>
                <w:szCs w:val="21"/>
              </w:rPr>
              <w:t>银联贷记卡小额交易</w:t>
            </w:r>
            <w:permStart w:id="22" w:edGrp="everyone"/>
            <w:r>
              <w:rPr>
                <w:rFonts w:ascii="楷体" w:hAnsi="楷体" w:eastAsia="楷体"/>
                <w:szCs w:val="21"/>
                <w:u w:val="single"/>
              </w:rPr>
              <w:t xml:space="preserve">   </w:t>
            </w:r>
            <w:r>
              <w:rPr>
                <w:rFonts w:hint="eastAsia" w:ascii="楷体" w:hAnsi="楷体" w:eastAsia="楷体"/>
                <w:szCs w:val="21"/>
                <w:u w:val="single"/>
              </w:rPr>
              <w:t>%</w:t>
            </w:r>
            <w:permEnd w:id="22"/>
          </w:p>
        </w:tc>
        <w:tc>
          <w:tcPr>
            <w:tcW w:w="1643" w:type="pct"/>
            <w:tcBorders>
              <w:left w:val="single" w:color="auto" w:sz="4" w:space="0"/>
            </w:tcBorders>
            <w:vAlign w:val="center"/>
          </w:tcPr>
          <w:p>
            <w:pPr>
              <w:rPr>
                <w:rFonts w:ascii="楷体" w:hAnsi="楷体" w:eastAsia="楷体"/>
                <w:szCs w:val="21"/>
                <w:u w:val="single"/>
              </w:rPr>
            </w:pPr>
            <w:permStart w:id="23" w:edGrp="everyone"/>
            <w:r>
              <w:rPr>
                <w:rFonts w:hint="eastAsia" w:ascii="楷体_GB2312" w:hAnsi="Times New Roman" w:eastAsia="楷体_GB2312" w:cs="Times New Roman"/>
                <w:szCs w:val="21"/>
              </w:rPr>
              <w:sym w:font="Wingdings" w:char="F06F"/>
            </w:r>
            <w:permEnd w:id="23"/>
            <w:r>
              <w:rPr>
                <w:rFonts w:hint="eastAsia" w:ascii="楷体" w:hAnsi="楷体" w:eastAsia="楷体"/>
                <w:szCs w:val="21"/>
              </w:rPr>
              <w:t>银联贷记卡大额交易</w:t>
            </w:r>
            <w:permStart w:id="24" w:edGrp="everyone"/>
            <w:r>
              <w:rPr>
                <w:rFonts w:ascii="楷体" w:hAnsi="楷体" w:eastAsia="楷体"/>
                <w:szCs w:val="21"/>
                <w:u w:val="single"/>
              </w:rPr>
              <w:t xml:space="preserve">     </w:t>
            </w:r>
            <w:r>
              <w:rPr>
                <w:rFonts w:hint="eastAsia" w:ascii="楷体" w:hAnsi="楷体" w:eastAsia="楷体"/>
                <w:szCs w:val="21"/>
                <w:u w:val="single"/>
              </w:rPr>
              <w:t>%</w:t>
            </w:r>
            <w:permEnd w:id="2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351"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25" w:edGrp="everyone"/>
            <w:r>
              <w:rPr>
                <w:rFonts w:hint="eastAsia" w:ascii="楷体_GB2312" w:hAnsi="Times New Roman" w:eastAsia="楷体_GB2312" w:cs="Times New Roman"/>
                <w:szCs w:val="21"/>
              </w:rPr>
              <w:sym w:font="Wingdings" w:char="F06F"/>
            </w:r>
            <w:permEnd w:id="25"/>
            <w:r>
              <w:rPr>
                <w:rFonts w:hint="eastAsia" w:ascii="楷体" w:hAnsi="楷体" w:eastAsia="楷体"/>
                <w:szCs w:val="21"/>
              </w:rPr>
              <w:t>银联借记卡小额交易</w:t>
            </w:r>
            <w:permStart w:id="26" w:edGrp="everyone"/>
            <w:r>
              <w:rPr>
                <w:rFonts w:ascii="楷体" w:hAnsi="楷体" w:eastAsia="楷体"/>
                <w:szCs w:val="21"/>
                <w:u w:val="single"/>
              </w:rPr>
              <w:t xml:space="preserve">   </w:t>
            </w:r>
            <w:r>
              <w:rPr>
                <w:rFonts w:hint="eastAsia" w:ascii="楷体" w:hAnsi="楷体" w:eastAsia="楷体"/>
                <w:szCs w:val="21"/>
                <w:u w:val="single"/>
              </w:rPr>
              <w:t>%</w:t>
            </w:r>
            <w:permEnd w:id="26"/>
          </w:p>
        </w:tc>
        <w:tc>
          <w:tcPr>
            <w:tcW w:w="1643" w:type="pct"/>
            <w:tcBorders>
              <w:left w:val="single" w:color="auto" w:sz="4" w:space="0"/>
            </w:tcBorders>
            <w:vAlign w:val="center"/>
          </w:tcPr>
          <w:p>
            <w:pPr>
              <w:rPr>
                <w:rFonts w:ascii="楷体_GB2312" w:hAnsi="Times New Roman" w:eastAsia="楷体_GB2312" w:cs="Times New Roman"/>
                <w:szCs w:val="21"/>
              </w:rPr>
            </w:pPr>
            <w:permStart w:id="27" w:edGrp="everyone"/>
            <w:r>
              <w:rPr>
                <w:rFonts w:hint="eastAsia" w:ascii="楷体_GB2312" w:hAnsi="Times New Roman" w:eastAsia="楷体_GB2312" w:cs="Times New Roman"/>
                <w:szCs w:val="21"/>
              </w:rPr>
              <w:sym w:font="Wingdings" w:char="F06F"/>
            </w:r>
            <w:permEnd w:id="27"/>
            <w:r>
              <w:rPr>
                <w:rFonts w:hint="eastAsia" w:ascii="楷体" w:hAnsi="楷体" w:eastAsia="楷体"/>
                <w:szCs w:val="21"/>
              </w:rPr>
              <w:t>银联借记卡大额交易</w:t>
            </w:r>
            <w:permStart w:id="28" w:edGrp="everyone"/>
            <w:r>
              <w:rPr>
                <w:rFonts w:ascii="楷体" w:hAnsi="楷体" w:eastAsia="楷体"/>
                <w:szCs w:val="21"/>
                <w:u w:val="single"/>
              </w:rPr>
              <w:t xml:space="preserve">     </w:t>
            </w:r>
            <w:r>
              <w:rPr>
                <w:rFonts w:hint="eastAsia" w:ascii="楷体" w:hAnsi="楷体" w:eastAsia="楷体"/>
                <w:szCs w:val="21"/>
                <w:u w:val="single"/>
              </w:rPr>
              <w:t>%</w:t>
            </w:r>
            <w:permEnd w:id="28"/>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29" w:edGrp="everyone"/>
            <w:r>
              <w:rPr>
                <w:rFonts w:hint="eastAsia" w:ascii="楷体_GB2312" w:hAnsi="Times New Roman" w:eastAsia="楷体_GB2312" w:cs="Times New Roman"/>
                <w:szCs w:val="21"/>
              </w:rPr>
              <w:sym w:font="Wingdings" w:char="F06F"/>
            </w:r>
            <w:permEnd w:id="29"/>
            <w:r>
              <w:rPr>
                <w:rFonts w:hint="eastAsia" w:ascii="楷体" w:hAnsi="楷体" w:eastAsia="楷体"/>
                <w:szCs w:val="21"/>
              </w:rPr>
              <w:t>微信（普通）</w:t>
            </w:r>
            <w:permStart w:id="30" w:edGrp="everyone"/>
            <w:r>
              <w:rPr>
                <w:rFonts w:ascii="楷体" w:hAnsi="楷体" w:eastAsia="楷体"/>
                <w:szCs w:val="21"/>
                <w:u w:val="single"/>
              </w:rPr>
              <w:t xml:space="preserve"> </w:t>
            </w:r>
            <w:r>
              <w:rPr>
                <w:rFonts w:hint="eastAsia" w:ascii="楷体" w:hAnsi="楷体" w:eastAsia="楷体"/>
                <w:szCs w:val="21"/>
                <w:u w:val="single"/>
                <w:lang w:val="en-US" w:eastAsia="zh-CN"/>
              </w:rPr>
              <w:t>0.3</w:t>
            </w:r>
            <w:r>
              <w:rPr>
                <w:rFonts w:ascii="楷体" w:hAnsi="楷体" w:eastAsia="楷体"/>
                <w:szCs w:val="21"/>
                <w:u w:val="single"/>
              </w:rPr>
              <w:t xml:space="preserve"> </w:t>
            </w:r>
            <w:r>
              <w:rPr>
                <w:rFonts w:hint="eastAsia" w:ascii="楷体" w:hAnsi="楷体" w:eastAsia="楷体"/>
                <w:szCs w:val="21"/>
                <w:u w:val="single"/>
              </w:rPr>
              <w:t>%</w:t>
            </w:r>
            <w:permEnd w:id="30"/>
          </w:p>
        </w:tc>
        <w:tc>
          <w:tcPr>
            <w:tcW w:w="1643" w:type="pct"/>
            <w:tcBorders>
              <w:left w:val="single" w:color="auto" w:sz="4" w:space="0"/>
            </w:tcBorders>
            <w:vAlign w:val="center"/>
          </w:tcPr>
          <w:p>
            <w:pPr>
              <w:rPr>
                <w:rFonts w:ascii="楷体_GB2312" w:hAnsi="Times New Roman" w:eastAsia="楷体_GB2312" w:cs="Times New Roman"/>
                <w:szCs w:val="21"/>
              </w:rPr>
            </w:pPr>
            <w:permStart w:id="31" w:edGrp="everyone"/>
            <w:r>
              <w:rPr>
                <w:rFonts w:hint="eastAsia" w:ascii="楷体_GB2312" w:hAnsi="Times New Roman" w:eastAsia="楷体_GB2312" w:cs="Times New Roman"/>
                <w:szCs w:val="21"/>
              </w:rPr>
              <w:sym w:font="Wingdings" w:char="F06F"/>
            </w:r>
            <w:permEnd w:id="31"/>
            <w:r>
              <w:rPr>
                <w:rFonts w:hint="eastAsia" w:ascii="楷体" w:hAnsi="楷体" w:eastAsia="楷体"/>
                <w:szCs w:val="21"/>
              </w:rPr>
              <w:t>支付宝</w:t>
            </w:r>
            <w:permStart w:id="32" w:edGrp="everyone"/>
            <w:r>
              <w:rPr>
                <w:rFonts w:ascii="楷体" w:hAnsi="楷体" w:eastAsia="楷体"/>
                <w:szCs w:val="21"/>
                <w:u w:val="single"/>
              </w:rPr>
              <w:t xml:space="preserve"> </w:t>
            </w:r>
            <w:r>
              <w:rPr>
                <w:rFonts w:hint="eastAsia" w:ascii="楷体" w:hAnsi="楷体" w:eastAsia="楷体"/>
                <w:szCs w:val="21"/>
                <w:u w:val="single"/>
                <w:lang w:val="en-US" w:eastAsia="zh-CN"/>
              </w:rPr>
              <w:t>0.3</w:t>
            </w:r>
            <w:r>
              <w:rPr>
                <w:rFonts w:hint="eastAsia" w:ascii="楷体" w:hAnsi="楷体" w:eastAsia="楷体"/>
                <w:szCs w:val="21"/>
                <w:u w:val="single"/>
              </w:rPr>
              <w:t>%</w:t>
            </w:r>
            <w:permEnd w:id="32"/>
            <w:bookmarkStart w:id="22" w:name="_GoBack"/>
            <w:bookmarkEnd w:id="22"/>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33" w:edGrp="everyone"/>
            <w:r>
              <w:rPr>
                <w:rFonts w:hint="eastAsia" w:ascii="楷体_GB2312" w:hAnsi="Times New Roman" w:eastAsia="楷体_GB2312" w:cs="Times New Roman"/>
                <w:szCs w:val="21"/>
              </w:rPr>
              <w:sym w:font="Wingdings" w:char="F06F"/>
            </w:r>
            <w:permEnd w:id="33"/>
            <w:r>
              <w:rPr>
                <w:rFonts w:hint="eastAsia" w:ascii="楷体" w:hAnsi="楷体" w:eastAsia="楷体"/>
                <w:szCs w:val="21"/>
              </w:rPr>
              <w:t>微信（教培）</w:t>
            </w:r>
            <w:permStart w:id="34" w:edGrp="everyone"/>
            <w:r>
              <w:rPr>
                <w:rFonts w:ascii="楷体" w:hAnsi="楷体" w:eastAsia="楷体"/>
                <w:szCs w:val="21"/>
                <w:u w:val="single"/>
              </w:rPr>
              <w:t xml:space="preserve">     </w:t>
            </w:r>
            <w:r>
              <w:rPr>
                <w:rFonts w:hint="eastAsia" w:ascii="楷体" w:hAnsi="楷体" w:eastAsia="楷体"/>
                <w:szCs w:val="21"/>
                <w:u w:val="single"/>
              </w:rPr>
              <w:t>%</w:t>
            </w:r>
            <w:permEnd w:id="34"/>
          </w:p>
        </w:tc>
        <w:tc>
          <w:tcPr>
            <w:tcW w:w="1643" w:type="pct"/>
            <w:tcBorders>
              <w:left w:val="single" w:color="auto" w:sz="4" w:space="0"/>
            </w:tcBorders>
            <w:vAlign w:val="center"/>
          </w:tcPr>
          <w:p>
            <w:pPr>
              <w:rPr>
                <w:rFonts w:ascii="楷体_GB2312" w:hAnsi="Times New Roman" w:eastAsia="楷体_GB2312" w:cs="Times New Roman"/>
                <w:szCs w:val="21"/>
              </w:rPr>
            </w:pPr>
            <w:permStart w:id="35" w:edGrp="everyone"/>
            <w:r>
              <w:rPr>
                <w:rFonts w:hint="eastAsia" w:ascii="楷体_GB2312" w:hAnsi="Times New Roman" w:eastAsia="楷体_GB2312" w:cs="Times New Roman"/>
                <w:szCs w:val="21"/>
              </w:rPr>
              <w:sym w:font="Wingdings" w:char="F06F"/>
            </w:r>
            <w:permEnd w:id="35"/>
            <w:r>
              <w:rPr>
                <w:rFonts w:hint="eastAsia" w:ascii="楷体" w:hAnsi="楷体" w:eastAsia="楷体"/>
                <w:szCs w:val="21"/>
              </w:rPr>
              <w:t>微信（校园食堂）</w:t>
            </w:r>
            <w:permStart w:id="36" w:edGrp="everyone"/>
            <w:r>
              <w:rPr>
                <w:rFonts w:ascii="楷体" w:hAnsi="楷体" w:eastAsia="楷体"/>
                <w:szCs w:val="21"/>
                <w:u w:val="single"/>
              </w:rPr>
              <w:t xml:space="preserve">     </w:t>
            </w:r>
            <w:r>
              <w:rPr>
                <w:rFonts w:hint="eastAsia" w:ascii="楷体" w:hAnsi="楷体" w:eastAsia="楷体"/>
                <w:szCs w:val="21"/>
                <w:u w:val="single"/>
              </w:rPr>
              <w:t>%</w:t>
            </w:r>
            <w:permEnd w:id="36"/>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vAlign w:val="center"/>
          </w:tcPr>
          <w:p>
            <w:pPr>
              <w:jc w:val="center"/>
              <w:rPr>
                <w:rFonts w:ascii="楷体" w:hAnsi="楷体" w:eastAsia="楷体"/>
                <w:szCs w:val="21"/>
                <w:u w:val="single"/>
              </w:rPr>
            </w:pPr>
          </w:p>
        </w:tc>
        <w:tc>
          <w:tcPr>
            <w:tcW w:w="693" w:type="pct"/>
            <w:gridSpan w:val="2"/>
            <w:vMerge w:val="continue"/>
            <w:tcBorders>
              <w:right w:val="single" w:color="auto" w:sz="4" w:space="0"/>
            </w:tcBorders>
            <w:vAlign w:val="center"/>
          </w:tcPr>
          <w:p>
            <w:pPr>
              <w:jc w:val="left"/>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37" w:edGrp="everyone"/>
            <w:r>
              <w:rPr>
                <w:rFonts w:hint="eastAsia" w:ascii="楷体_GB2312" w:hAnsi="Times New Roman" w:eastAsia="楷体_GB2312" w:cs="Times New Roman"/>
                <w:szCs w:val="21"/>
              </w:rPr>
              <w:sym w:font="Wingdings" w:char="F06F"/>
            </w:r>
            <w:permEnd w:id="37"/>
            <w:r>
              <w:rPr>
                <w:rFonts w:hint="eastAsia" w:ascii="楷体" w:hAnsi="楷体" w:eastAsia="楷体"/>
                <w:szCs w:val="21"/>
              </w:rPr>
              <w:t>微信（公办学校）</w:t>
            </w:r>
            <w:permStart w:id="38" w:edGrp="everyone"/>
            <w:r>
              <w:rPr>
                <w:rFonts w:ascii="楷体" w:hAnsi="楷体" w:eastAsia="楷体"/>
                <w:szCs w:val="21"/>
                <w:u w:val="single"/>
              </w:rPr>
              <w:t xml:space="preserve">     </w:t>
            </w:r>
            <w:r>
              <w:rPr>
                <w:rFonts w:hint="eastAsia" w:ascii="楷体" w:hAnsi="楷体" w:eastAsia="楷体"/>
                <w:szCs w:val="21"/>
                <w:u w:val="single"/>
              </w:rPr>
              <w:t>%</w:t>
            </w:r>
            <w:permEnd w:id="38"/>
          </w:p>
        </w:tc>
        <w:tc>
          <w:tcPr>
            <w:tcW w:w="1643" w:type="pct"/>
            <w:tcBorders>
              <w:left w:val="single" w:color="auto" w:sz="4" w:space="0"/>
            </w:tcBorders>
            <w:vAlign w:val="center"/>
          </w:tcPr>
          <w:p>
            <w:pPr>
              <w:rPr>
                <w:rFonts w:ascii="楷体_GB2312" w:hAnsi="Times New Roman" w:eastAsia="楷体_GB2312" w:cs="Times New Roman"/>
                <w:szCs w:val="21"/>
              </w:rPr>
            </w:pPr>
            <w:permStart w:id="39" w:edGrp="everyone"/>
            <w:r>
              <w:rPr>
                <w:rFonts w:hint="eastAsia" w:ascii="楷体_GB2312" w:hAnsi="Times New Roman" w:eastAsia="楷体_GB2312" w:cs="Times New Roman"/>
                <w:szCs w:val="21"/>
              </w:rPr>
              <w:sym w:font="Wingdings" w:char="F06F"/>
            </w:r>
            <w:permEnd w:id="39"/>
            <w:r>
              <w:rPr>
                <w:rFonts w:hint="eastAsia" w:ascii="楷体" w:hAnsi="楷体" w:eastAsia="楷体"/>
                <w:szCs w:val="21"/>
              </w:rPr>
              <w:t>微信（民办学校）</w:t>
            </w:r>
            <w:permStart w:id="40" w:edGrp="everyone"/>
            <w:r>
              <w:rPr>
                <w:rFonts w:ascii="楷体" w:hAnsi="楷体" w:eastAsia="楷体"/>
                <w:szCs w:val="21"/>
                <w:u w:val="single"/>
              </w:rPr>
              <w:t xml:space="preserve">     </w:t>
            </w:r>
            <w:r>
              <w:rPr>
                <w:rFonts w:hint="eastAsia" w:ascii="楷体" w:hAnsi="楷体" w:eastAsia="楷体"/>
                <w:szCs w:val="21"/>
                <w:u w:val="single"/>
              </w:rPr>
              <w:t>%</w:t>
            </w:r>
            <w:permEnd w:id="4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restart"/>
            <w:tcBorders>
              <w:right w:val="single" w:color="auto" w:sz="4" w:space="0"/>
            </w:tcBorders>
            <w:vAlign w:val="center"/>
          </w:tcPr>
          <w:p>
            <w:pPr>
              <w:jc w:val="center"/>
              <w:rPr>
                <w:rFonts w:ascii="楷体" w:hAnsi="楷体" w:eastAsia="楷体"/>
                <w:szCs w:val="21"/>
              </w:rPr>
            </w:pPr>
            <w:r>
              <w:rPr>
                <w:rFonts w:ascii="楷体" w:hAnsi="楷体" w:eastAsia="楷体"/>
                <w:szCs w:val="21"/>
              </w:rPr>
              <w:t>增值</w:t>
            </w:r>
          </w:p>
          <w:p>
            <w:pPr>
              <w:jc w:val="center"/>
              <w:rPr>
                <w:rFonts w:ascii="楷体" w:hAnsi="楷体" w:eastAsia="楷体"/>
                <w:szCs w:val="21"/>
              </w:rPr>
            </w:pPr>
            <w:r>
              <w:rPr>
                <w:rFonts w:hint="eastAsia" w:ascii="楷体" w:hAnsi="楷体" w:eastAsia="楷体"/>
                <w:szCs w:val="21"/>
              </w:rPr>
              <w:t>业务</w:t>
            </w:r>
          </w:p>
        </w:tc>
        <w:tc>
          <w:tcPr>
            <w:tcW w:w="349" w:type="pct"/>
            <w:vMerge w:val="restart"/>
            <w:tcBorders>
              <w:right w:val="single" w:color="auto" w:sz="4" w:space="0"/>
            </w:tcBorders>
            <w:vAlign w:val="center"/>
          </w:tcPr>
          <w:p>
            <w:pPr>
              <w:rPr>
                <w:rFonts w:ascii="楷体_GB2312" w:hAnsi="Times New Roman" w:eastAsia="楷体_GB2312" w:cs="Times New Roman"/>
                <w:szCs w:val="21"/>
              </w:rPr>
            </w:pPr>
            <w:r>
              <w:rPr>
                <w:rFonts w:hint="eastAsia" w:ascii="楷体_GB2312" w:hAnsi="Times New Roman" w:eastAsia="楷体_GB2312" w:cs="Times New Roman"/>
                <w:szCs w:val="21"/>
              </w:rPr>
              <w:t>快速</w:t>
            </w:r>
          </w:p>
          <w:p>
            <w:pPr>
              <w:rPr>
                <w:rFonts w:ascii="楷体" w:hAnsi="楷体" w:eastAsia="楷体"/>
                <w:szCs w:val="21"/>
              </w:rPr>
            </w:pPr>
            <w:r>
              <w:rPr>
                <w:rFonts w:ascii="楷体_GB2312" w:hAnsi="Times New Roman" w:eastAsia="楷体_GB2312" w:cs="Times New Roman"/>
                <w:szCs w:val="21"/>
              </w:rPr>
              <w:t>结算</w:t>
            </w:r>
          </w:p>
        </w:tc>
        <w:tc>
          <w:tcPr>
            <w:tcW w:w="1856" w:type="pct"/>
            <w:gridSpan w:val="4"/>
            <w:tcBorders>
              <w:right w:val="single" w:color="auto" w:sz="4" w:space="0"/>
            </w:tcBorders>
            <w:vAlign w:val="center"/>
          </w:tcPr>
          <w:p>
            <w:pPr>
              <w:rPr>
                <w:rFonts w:ascii="楷体" w:hAnsi="楷体" w:eastAsia="楷体"/>
                <w:szCs w:val="21"/>
              </w:rPr>
            </w:pPr>
            <w:permStart w:id="41" w:edGrp="everyone"/>
            <w:r>
              <w:rPr>
                <w:rFonts w:hint="eastAsia" w:ascii="楷体_GB2312" w:hAnsi="Times New Roman" w:eastAsia="楷体_GB2312" w:cs="Times New Roman"/>
                <w:szCs w:val="21"/>
              </w:rPr>
              <w:sym w:font="Wingdings" w:char="F06F"/>
            </w:r>
            <w:permEnd w:id="41"/>
            <w:r>
              <w:rPr>
                <w:rFonts w:hint="eastAsia" w:ascii="楷体" w:hAnsi="楷体" w:eastAsia="楷体"/>
                <w:szCs w:val="21"/>
              </w:rPr>
              <w:t>D+0日</w:t>
            </w:r>
            <w:permStart w:id="42" w:edGrp="everyone"/>
            <w:r>
              <w:rPr>
                <w:rFonts w:ascii="楷体" w:hAnsi="楷体" w:eastAsia="楷体"/>
                <w:szCs w:val="21"/>
                <w:u w:val="single"/>
              </w:rPr>
              <w:t xml:space="preserve">     </w:t>
            </w:r>
            <w:r>
              <w:rPr>
                <w:rFonts w:hint="eastAsia" w:ascii="楷体" w:hAnsi="楷体" w:eastAsia="楷体"/>
                <w:szCs w:val="21"/>
                <w:u w:val="single"/>
              </w:rPr>
              <w:t>%</w:t>
            </w:r>
            <w:permEnd w:id="42"/>
          </w:p>
        </w:tc>
        <w:tc>
          <w:tcPr>
            <w:tcW w:w="1643" w:type="pct"/>
            <w:tcBorders>
              <w:left w:val="single" w:color="auto" w:sz="4" w:space="0"/>
            </w:tcBorders>
            <w:vAlign w:val="center"/>
          </w:tcPr>
          <w:p>
            <w:pPr>
              <w:rPr>
                <w:rFonts w:ascii="楷体_GB2312" w:hAnsi="Times New Roman" w:eastAsia="楷体_GB2312" w:cs="Times New Roman"/>
                <w:szCs w:val="21"/>
              </w:rPr>
            </w:pPr>
            <w:permStart w:id="43" w:edGrp="everyone"/>
            <w:r>
              <w:rPr>
                <w:rFonts w:hint="eastAsia" w:ascii="楷体_GB2312" w:hAnsi="Times New Roman" w:eastAsia="楷体_GB2312" w:cs="Times New Roman"/>
                <w:szCs w:val="21"/>
              </w:rPr>
              <w:sym w:font="Wingdings" w:char="F06F"/>
            </w:r>
            <w:permEnd w:id="43"/>
            <w:r>
              <w:rPr>
                <w:rFonts w:ascii="楷体_GB2312" w:hAnsi="Times New Roman" w:eastAsia="楷体_GB2312" w:cs="Times New Roman"/>
                <w:szCs w:val="21"/>
              </w:rPr>
              <w:t>D</w:t>
            </w:r>
            <w:r>
              <w:rPr>
                <w:rFonts w:hint="eastAsia" w:ascii="楷体_GB2312" w:hAnsi="Times New Roman" w:eastAsia="楷体_GB2312" w:cs="Times New Roman"/>
                <w:szCs w:val="21"/>
              </w:rPr>
              <w:t>+</w:t>
            </w:r>
            <w:r>
              <w:rPr>
                <w:rFonts w:ascii="楷体_GB2312" w:hAnsi="Times New Roman" w:eastAsia="楷体_GB2312" w:cs="Times New Roman"/>
                <w:szCs w:val="21"/>
              </w:rPr>
              <w:t>1</w:t>
            </w:r>
            <w:r>
              <w:rPr>
                <w:rFonts w:hint="eastAsia" w:ascii="楷体_GB2312" w:hAnsi="Times New Roman" w:eastAsia="楷体_GB2312" w:cs="Times New Roman"/>
                <w:szCs w:val="21"/>
              </w:rPr>
              <w:t>日</w:t>
            </w:r>
            <w:permStart w:id="44" w:edGrp="everyone"/>
            <w:r>
              <w:rPr>
                <w:rFonts w:ascii="楷体" w:hAnsi="楷体" w:eastAsia="楷体"/>
                <w:szCs w:val="21"/>
                <w:u w:val="single"/>
              </w:rPr>
              <w:t xml:space="preserve">      </w:t>
            </w:r>
            <w:r>
              <w:rPr>
                <w:rFonts w:hint="eastAsia" w:ascii="楷体" w:hAnsi="楷体" w:eastAsia="楷体"/>
                <w:szCs w:val="21"/>
                <w:u w:val="single"/>
              </w:rPr>
              <w:t>%</w:t>
            </w:r>
            <w:permEnd w:id="4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continue"/>
            <w:tcBorders>
              <w:right w:val="single" w:color="auto" w:sz="4" w:space="0"/>
            </w:tcBorders>
            <w:vAlign w:val="center"/>
          </w:tcPr>
          <w:p>
            <w:pPr>
              <w:rPr>
                <w:rFonts w:ascii="楷体" w:hAnsi="楷体" w:eastAsia="楷体"/>
                <w:szCs w:val="21"/>
              </w:rPr>
            </w:pPr>
          </w:p>
        </w:tc>
        <w:tc>
          <w:tcPr>
            <w:tcW w:w="1856" w:type="pct"/>
            <w:gridSpan w:val="4"/>
            <w:tcBorders>
              <w:right w:val="single" w:color="auto" w:sz="4" w:space="0"/>
            </w:tcBorders>
            <w:vAlign w:val="center"/>
          </w:tcPr>
          <w:p>
            <w:pPr>
              <w:rPr>
                <w:rFonts w:ascii="楷体" w:hAnsi="楷体" w:eastAsia="楷体"/>
                <w:szCs w:val="21"/>
              </w:rPr>
            </w:pPr>
            <w:permStart w:id="45" w:edGrp="everyone"/>
            <w:r>
              <w:rPr>
                <w:rFonts w:hint="eastAsia" w:ascii="楷体_GB2312" w:hAnsi="Times New Roman" w:eastAsia="楷体_GB2312" w:cs="Times New Roman"/>
                <w:szCs w:val="21"/>
              </w:rPr>
              <w:sym w:font="Wingdings" w:char="F06F"/>
            </w:r>
            <w:permEnd w:id="45"/>
            <w:r>
              <w:rPr>
                <w:rFonts w:ascii="楷体_GB2312" w:hAnsi="Times New Roman" w:eastAsia="楷体_GB2312" w:cs="Times New Roman"/>
                <w:szCs w:val="21"/>
              </w:rPr>
              <w:t>TS</w:t>
            </w:r>
            <w:permStart w:id="46" w:edGrp="everyone"/>
            <w:r>
              <w:rPr>
                <w:rFonts w:ascii="楷体" w:hAnsi="楷体" w:eastAsia="楷体"/>
                <w:szCs w:val="21"/>
                <w:u w:val="single"/>
              </w:rPr>
              <w:t xml:space="preserve">     </w:t>
            </w:r>
            <w:r>
              <w:rPr>
                <w:rFonts w:hint="eastAsia" w:ascii="楷体" w:hAnsi="楷体" w:eastAsia="楷体"/>
                <w:szCs w:val="21"/>
                <w:u w:val="single"/>
              </w:rPr>
              <w:t>%</w:t>
            </w:r>
            <w:permEnd w:id="46"/>
          </w:p>
        </w:tc>
        <w:tc>
          <w:tcPr>
            <w:tcW w:w="1643" w:type="pct"/>
            <w:tcBorders>
              <w:left w:val="single" w:color="auto" w:sz="4" w:space="0"/>
            </w:tcBorders>
            <w:vAlign w:val="center"/>
          </w:tcPr>
          <w:p>
            <w:pPr>
              <w:rPr>
                <w:rFonts w:ascii="楷体_GB2312" w:hAnsi="Times New Roman" w:eastAsia="楷体_GB2312" w:cs="Times New Roman"/>
                <w:szCs w:val="21"/>
              </w:rPr>
            </w:pPr>
            <w:permStart w:id="47" w:edGrp="everyone"/>
            <w:r>
              <w:rPr>
                <w:rFonts w:hint="eastAsia" w:ascii="楷体_GB2312" w:hAnsi="Times New Roman" w:eastAsia="楷体_GB2312" w:cs="Times New Roman"/>
                <w:szCs w:val="21"/>
              </w:rPr>
              <w:sym w:font="Wingdings" w:char="F06F"/>
            </w:r>
            <w:r>
              <w:rPr>
                <w:rFonts w:hint="eastAsia" w:ascii="楷体_GB2312" w:hAnsi="Times New Roman" w:eastAsia="楷体_GB2312" w:cs="Times New Roman"/>
                <w:szCs w:val="21"/>
              </w:rPr>
              <w:t>自定义时间</w:t>
            </w:r>
            <w:r>
              <w:rPr>
                <w:rFonts w:hint="eastAsia" w:ascii="楷体_GB2312" w:hAnsi="Times New Roman" w:eastAsia="楷体_GB2312" w:cs="Times New Roman"/>
                <w:szCs w:val="21"/>
                <w:u w:val="single"/>
              </w:rPr>
              <w:t xml:space="preserve">  </w:t>
            </w:r>
            <w:r>
              <w:rPr>
                <w:rFonts w:ascii="楷体" w:hAnsi="楷体" w:eastAsia="楷体"/>
                <w:szCs w:val="21"/>
                <w:u w:val="single"/>
              </w:rPr>
              <w:t xml:space="preserve">/  </w:t>
            </w:r>
            <w:permEnd w:id="4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restart"/>
            <w:tcBorders>
              <w:right w:val="single" w:color="auto" w:sz="4" w:space="0"/>
            </w:tcBorders>
            <w:vAlign w:val="center"/>
          </w:tcPr>
          <w:p>
            <w:pPr>
              <w:rPr>
                <w:rFonts w:ascii="楷体" w:hAnsi="楷体" w:eastAsia="楷体"/>
                <w:szCs w:val="21"/>
              </w:rPr>
            </w:pPr>
            <w:r>
              <w:rPr>
                <w:rFonts w:ascii="楷体" w:hAnsi="楷体" w:eastAsia="楷体"/>
                <w:szCs w:val="21"/>
              </w:rPr>
              <w:t>花呗</w:t>
            </w:r>
          </w:p>
          <w:p>
            <w:pPr>
              <w:rPr>
                <w:rFonts w:ascii="楷体" w:hAnsi="楷体" w:eastAsia="楷体"/>
                <w:szCs w:val="21"/>
              </w:rPr>
            </w:pPr>
            <w:r>
              <w:rPr>
                <w:rFonts w:ascii="楷体" w:hAnsi="楷体" w:eastAsia="楷体"/>
                <w:szCs w:val="21"/>
              </w:rPr>
              <w:t>分期</w:t>
            </w:r>
          </w:p>
        </w:tc>
        <w:tc>
          <w:tcPr>
            <w:tcW w:w="3498" w:type="pct"/>
            <w:gridSpan w:val="5"/>
            <w:vAlign w:val="center"/>
          </w:tcPr>
          <w:p>
            <w:pPr>
              <w:rPr>
                <w:rFonts w:ascii="楷体_GB2312" w:hAnsi="Times New Roman" w:eastAsia="楷体_GB2312" w:cs="Times New Roman"/>
                <w:szCs w:val="21"/>
              </w:rPr>
            </w:pPr>
            <w:permStart w:id="48" w:edGrp="everyone"/>
            <w:r>
              <w:rPr>
                <w:rFonts w:hint="eastAsia" w:ascii="楷体" w:hAnsi="楷体" w:eastAsia="楷体" w:cs="Times New Roman"/>
                <w:szCs w:val="21"/>
              </w:rPr>
              <w:sym w:font="Wingdings" w:char="F06F"/>
            </w:r>
            <w:permEnd w:id="48"/>
            <w:r>
              <w:rPr>
                <w:rFonts w:hint="eastAsia" w:ascii="楷体" w:hAnsi="楷体" w:eastAsia="楷体"/>
                <w:szCs w:val="21"/>
              </w:rPr>
              <w:t>手续费：</w:t>
            </w:r>
            <w:r>
              <w:rPr>
                <w:rFonts w:ascii="楷体" w:hAnsi="楷体" w:eastAsia="楷体"/>
                <w:szCs w:val="21"/>
              </w:rPr>
              <w:t>3期</w:t>
            </w:r>
            <w:permStart w:id="49" w:edGrp="everyone"/>
            <w:r>
              <w:rPr>
                <w:rFonts w:ascii="楷体" w:hAnsi="楷体" w:eastAsia="楷体"/>
                <w:szCs w:val="21"/>
                <w:u w:val="single"/>
              </w:rPr>
              <w:t xml:space="preserve">    </w:t>
            </w:r>
            <w:r>
              <w:rPr>
                <w:rFonts w:hint="eastAsia" w:ascii="楷体" w:hAnsi="楷体" w:eastAsia="楷体"/>
                <w:szCs w:val="21"/>
                <w:u w:val="single"/>
              </w:rPr>
              <w:t>%</w:t>
            </w:r>
            <w:permEnd w:id="49"/>
            <w:r>
              <w:rPr>
                <w:rFonts w:ascii="楷体" w:hAnsi="楷体" w:eastAsia="楷体"/>
                <w:szCs w:val="21"/>
              </w:rPr>
              <w:t xml:space="preserve">   6期</w:t>
            </w:r>
            <w:permStart w:id="50"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0"/>
            <w:r>
              <w:rPr>
                <w:rFonts w:ascii="楷体" w:hAnsi="楷体" w:eastAsia="楷体"/>
                <w:szCs w:val="21"/>
              </w:rPr>
              <w:t xml:space="preserve">   12期</w:t>
            </w:r>
            <w:permStart w:id="51"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continue"/>
            <w:tcBorders>
              <w:right w:val="single" w:color="auto" w:sz="4" w:space="0"/>
            </w:tcBorders>
            <w:vAlign w:val="center"/>
          </w:tcPr>
          <w:p>
            <w:pPr>
              <w:rPr>
                <w:rFonts w:ascii="楷体" w:hAnsi="楷体" w:eastAsia="楷体"/>
                <w:szCs w:val="21"/>
              </w:rPr>
            </w:pPr>
          </w:p>
        </w:tc>
        <w:tc>
          <w:tcPr>
            <w:tcW w:w="3498" w:type="pct"/>
            <w:gridSpan w:val="5"/>
            <w:vAlign w:val="center"/>
          </w:tcPr>
          <w:p>
            <w:pPr>
              <w:rPr>
                <w:rFonts w:ascii="楷体_GB2312" w:hAnsi="Times New Roman" w:eastAsia="楷体_GB2312" w:cs="Times New Roman"/>
                <w:szCs w:val="21"/>
              </w:rPr>
            </w:pPr>
            <w:permStart w:id="52" w:edGrp="everyone"/>
            <w:r>
              <w:rPr>
                <w:rFonts w:hint="eastAsia" w:ascii="楷体" w:hAnsi="楷体" w:eastAsia="楷体" w:cs="Times New Roman"/>
                <w:szCs w:val="21"/>
              </w:rPr>
              <w:sym w:font="Wingdings" w:char="F06F"/>
            </w:r>
            <w:permEnd w:id="52"/>
            <w:r>
              <w:rPr>
                <w:rFonts w:hint="eastAsia" w:ascii="楷体" w:hAnsi="楷体" w:eastAsia="楷体"/>
                <w:szCs w:val="21"/>
              </w:rPr>
              <w:t>代偿模式服务费：</w:t>
            </w:r>
            <w:r>
              <w:rPr>
                <w:rFonts w:ascii="楷体" w:hAnsi="楷体" w:eastAsia="楷体"/>
                <w:szCs w:val="21"/>
              </w:rPr>
              <w:t>3期</w:t>
            </w:r>
            <w:permStart w:id="53" w:edGrp="everyone"/>
            <w:r>
              <w:rPr>
                <w:rFonts w:ascii="楷体" w:hAnsi="楷体" w:eastAsia="楷体"/>
                <w:szCs w:val="21"/>
                <w:u w:val="single"/>
              </w:rPr>
              <w:t xml:space="preserve">    </w:t>
            </w:r>
            <w:r>
              <w:rPr>
                <w:rFonts w:hint="eastAsia" w:ascii="楷体" w:hAnsi="楷体" w:eastAsia="楷体"/>
                <w:szCs w:val="21"/>
                <w:u w:val="single"/>
              </w:rPr>
              <w:t>%</w:t>
            </w:r>
            <w:permEnd w:id="53"/>
            <w:r>
              <w:rPr>
                <w:rFonts w:ascii="楷体" w:hAnsi="楷体" w:eastAsia="楷体"/>
                <w:szCs w:val="21"/>
              </w:rPr>
              <w:t xml:space="preserve">   6期</w:t>
            </w:r>
            <w:permStart w:id="54"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4"/>
            <w:r>
              <w:rPr>
                <w:rFonts w:ascii="楷体" w:hAnsi="楷体" w:eastAsia="楷体"/>
                <w:szCs w:val="21"/>
              </w:rPr>
              <w:t xml:space="preserve">    12期</w:t>
            </w:r>
            <w:permStart w:id="55" w:edGrp="everyone"/>
            <w:r>
              <w:rPr>
                <w:rFonts w:hint="eastAsia" w:ascii="楷体" w:hAnsi="楷体" w:eastAsia="楷体"/>
                <w:szCs w:val="21"/>
                <w:u w:val="single"/>
              </w:rPr>
              <w:t xml:space="preserve"> </w:t>
            </w:r>
            <w:r>
              <w:rPr>
                <w:rFonts w:ascii="楷体" w:hAnsi="楷体" w:eastAsia="楷体"/>
                <w:szCs w:val="21"/>
                <w:u w:val="single"/>
              </w:rPr>
              <w:t xml:space="preserve">   </w:t>
            </w:r>
            <w:r>
              <w:rPr>
                <w:rFonts w:hint="eastAsia" w:ascii="楷体" w:hAnsi="楷体" w:eastAsia="楷体"/>
                <w:szCs w:val="21"/>
                <w:u w:val="single"/>
              </w:rPr>
              <w:t>%</w:t>
            </w:r>
            <w:permEnd w:id="55"/>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restart"/>
            <w:vAlign w:val="center"/>
          </w:tcPr>
          <w:p>
            <w:pPr>
              <w:jc w:val="center"/>
              <w:rPr>
                <w:rFonts w:ascii="楷体" w:hAnsi="楷体" w:eastAsia="楷体"/>
                <w:szCs w:val="21"/>
              </w:rPr>
            </w:pPr>
            <w:r>
              <w:rPr>
                <w:rFonts w:ascii="楷体" w:hAnsi="楷体" w:eastAsia="楷体"/>
                <w:szCs w:val="21"/>
              </w:rPr>
              <w:t>网络</w:t>
            </w:r>
          </w:p>
          <w:p>
            <w:pPr>
              <w:jc w:val="center"/>
              <w:rPr>
                <w:rFonts w:ascii="楷体" w:hAnsi="楷体" w:eastAsia="楷体"/>
                <w:szCs w:val="21"/>
              </w:rPr>
            </w:pPr>
            <w:r>
              <w:rPr>
                <w:rFonts w:ascii="楷体" w:hAnsi="楷体" w:eastAsia="楷体"/>
                <w:szCs w:val="21"/>
              </w:rPr>
              <w:t>支付</w:t>
            </w:r>
          </w:p>
        </w:tc>
        <w:tc>
          <w:tcPr>
            <w:tcW w:w="468" w:type="pct"/>
            <w:vMerge w:val="restart"/>
            <w:tcBorders>
              <w:right w:val="single" w:color="auto" w:sz="4" w:space="0"/>
            </w:tcBorders>
            <w:vAlign w:val="center"/>
          </w:tcPr>
          <w:p>
            <w:pPr>
              <w:jc w:val="center"/>
              <w:rPr>
                <w:rFonts w:ascii="楷体" w:hAnsi="楷体" w:eastAsia="楷体"/>
                <w:szCs w:val="21"/>
              </w:rPr>
            </w:pPr>
            <w:r>
              <w:rPr>
                <w:rFonts w:hint="eastAsia" w:ascii="楷体" w:hAnsi="楷体" w:eastAsia="楷体"/>
                <w:szCs w:val="21"/>
              </w:rPr>
              <w:t>常规</w:t>
            </w:r>
          </w:p>
          <w:p>
            <w:pPr>
              <w:jc w:val="center"/>
              <w:rPr>
                <w:rFonts w:ascii="楷体" w:hAnsi="楷体" w:eastAsia="楷体"/>
                <w:szCs w:val="21"/>
              </w:rPr>
            </w:pPr>
            <w:r>
              <w:rPr>
                <w:rFonts w:hint="eastAsia" w:ascii="楷体" w:hAnsi="楷体" w:eastAsia="楷体"/>
                <w:szCs w:val="21"/>
              </w:rPr>
              <w:t>业务</w:t>
            </w:r>
          </w:p>
        </w:tc>
        <w:tc>
          <w:tcPr>
            <w:tcW w:w="693" w:type="pct"/>
            <w:gridSpan w:val="2"/>
            <w:vMerge w:val="restart"/>
            <w:tcBorders>
              <w:right w:val="single" w:color="auto" w:sz="4" w:space="0"/>
            </w:tcBorders>
            <w:vAlign w:val="center"/>
          </w:tcPr>
          <w:p>
            <w:pPr>
              <w:rPr>
                <w:rFonts w:ascii="楷体_GB2312" w:hAnsi="Times New Roman" w:eastAsia="楷体_GB2312" w:cs="Times New Roman"/>
                <w:szCs w:val="21"/>
              </w:rPr>
            </w:pPr>
            <w:r>
              <w:rPr>
                <w:rFonts w:hint="eastAsia" w:ascii="楷体" w:hAnsi="楷体" w:eastAsia="楷体"/>
                <w:szCs w:val="21"/>
              </w:rPr>
              <w:t>银行卡支付</w:t>
            </w:r>
          </w:p>
        </w:tc>
        <w:tc>
          <w:tcPr>
            <w:tcW w:w="3155" w:type="pct"/>
            <w:gridSpan w:val="4"/>
            <w:tcBorders>
              <w:left w:val="single" w:color="auto" w:sz="4" w:space="0"/>
            </w:tcBorders>
            <w:vAlign w:val="center"/>
          </w:tcPr>
          <w:p>
            <w:pPr>
              <w:rPr>
                <w:rFonts w:ascii="楷体" w:hAnsi="楷体" w:eastAsia="楷体"/>
                <w:szCs w:val="21"/>
              </w:rPr>
            </w:pPr>
            <w:permStart w:id="56" w:edGrp="everyone"/>
            <w:r>
              <w:rPr>
                <w:rFonts w:hint="eastAsia" w:ascii="楷体_GB2312" w:hAnsi="Times New Roman" w:eastAsia="楷体_GB2312" w:cs="Times New Roman"/>
                <w:szCs w:val="21"/>
              </w:rPr>
              <w:sym w:font="Wingdings" w:char="F06F"/>
            </w:r>
            <w:permEnd w:id="56"/>
            <w:r>
              <w:rPr>
                <w:rFonts w:hint="eastAsia" w:ascii="楷体" w:hAnsi="楷体" w:eastAsia="楷体"/>
                <w:szCs w:val="21"/>
              </w:rPr>
              <w:t>B</w:t>
            </w:r>
            <w:r>
              <w:rPr>
                <w:rFonts w:ascii="楷体" w:hAnsi="楷体" w:eastAsia="楷体"/>
                <w:szCs w:val="21"/>
              </w:rPr>
              <w:t>2B</w:t>
            </w:r>
            <w:r>
              <w:rPr>
                <w:rFonts w:hint="eastAsia" w:ascii="楷体" w:hAnsi="楷体" w:eastAsia="楷体"/>
                <w:szCs w:val="21"/>
              </w:rPr>
              <w:t>网关</w:t>
            </w:r>
            <w:permStart w:id="57" w:edGrp="everyone"/>
            <w:r>
              <w:rPr>
                <w:rFonts w:ascii="楷体" w:hAnsi="楷体" w:eastAsia="楷体"/>
                <w:szCs w:val="21"/>
                <w:u w:val="single"/>
              </w:rPr>
              <w:t xml:space="preserve"> /</w:t>
            </w:r>
            <w:r>
              <w:rPr>
                <w:rFonts w:hint="eastAsia" w:ascii="楷体" w:hAnsi="楷体" w:eastAsia="楷体"/>
                <w:szCs w:val="21"/>
                <w:u w:val="single"/>
              </w:rPr>
              <w:t>元/笔</w:t>
            </w:r>
            <w:r>
              <w:rPr>
                <w:rFonts w:ascii="楷体" w:hAnsi="楷体" w:eastAsia="楷体"/>
                <w:szCs w:val="21"/>
                <w:u w:val="single"/>
              </w:rPr>
              <w:t xml:space="preserve"> </w:t>
            </w:r>
            <w:permEnd w:id="5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restart"/>
            <w:tcBorders>
              <w:left w:val="single" w:color="auto" w:sz="4" w:space="0"/>
            </w:tcBorders>
            <w:vAlign w:val="center"/>
          </w:tcPr>
          <w:p>
            <w:pPr>
              <w:rPr>
                <w:rFonts w:ascii="楷体_GB2312" w:hAnsi="Times New Roman" w:eastAsia="楷体_GB2312" w:cs="Times New Roman"/>
                <w:szCs w:val="21"/>
              </w:rPr>
            </w:pPr>
            <w:permStart w:id="58" w:edGrp="everyone"/>
            <w:r>
              <w:rPr>
                <w:rFonts w:hint="eastAsia" w:ascii="楷体_GB2312" w:hAnsi="Times New Roman" w:eastAsia="楷体_GB2312" w:cs="Times New Roman"/>
                <w:szCs w:val="21"/>
              </w:rPr>
              <w:sym w:font="Wingdings" w:char="F06F"/>
            </w:r>
            <w:permEnd w:id="58"/>
            <w:r>
              <w:rPr>
                <w:rFonts w:ascii="楷体_GB2312" w:hAnsi="Times New Roman" w:eastAsia="楷体_GB2312" w:cs="Times New Roman"/>
                <w:szCs w:val="21"/>
              </w:rPr>
              <w:t>B2C</w:t>
            </w:r>
            <w:r>
              <w:rPr>
                <w:rFonts w:hint="eastAsia" w:ascii="楷体" w:hAnsi="楷体" w:eastAsia="楷体"/>
                <w:szCs w:val="21"/>
              </w:rPr>
              <w:t>网关贷记卡</w:t>
            </w: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59" w:edGrp="everyone"/>
            <w:r>
              <w:rPr>
                <w:rFonts w:ascii="楷体" w:hAnsi="楷体" w:eastAsia="楷体"/>
                <w:szCs w:val="21"/>
                <w:u w:val="single"/>
              </w:rPr>
              <w:t xml:space="preserve"> </w:t>
            </w:r>
            <w:r>
              <w:rPr>
                <w:rFonts w:hint="eastAsia" w:ascii="楷体" w:hAnsi="楷体" w:eastAsia="楷体"/>
                <w:szCs w:val="21"/>
                <w:u w:val="single"/>
              </w:rPr>
              <w:t>/</w:t>
            </w:r>
            <w:r>
              <w:rPr>
                <w:rFonts w:ascii="楷体" w:hAnsi="楷体" w:eastAsia="楷体"/>
                <w:szCs w:val="21"/>
                <w:u w:val="single"/>
              </w:rPr>
              <w:t xml:space="preserve"> </w:t>
            </w:r>
            <w:r>
              <w:rPr>
                <w:rFonts w:hint="eastAsia" w:ascii="楷体" w:hAnsi="楷体" w:eastAsia="楷体"/>
                <w:szCs w:val="21"/>
                <w:u w:val="single"/>
              </w:rPr>
              <w:t>%</w:t>
            </w:r>
            <w:permEnd w:id="59"/>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continue"/>
            <w:tcBorders>
              <w:left w:val="single" w:color="auto" w:sz="4" w:space="0"/>
            </w:tcBorders>
            <w:vAlign w:val="center"/>
          </w:tcPr>
          <w:p>
            <w:pPr>
              <w:rPr>
                <w:rFonts w:ascii="楷体_GB2312" w:hAnsi="Times New Roman" w:eastAsia="楷体_GB2312" w:cs="Times New Roman"/>
                <w:szCs w:val="21"/>
              </w:rPr>
            </w:pP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0" w:edGrp="everyone"/>
            <w:r>
              <w:rPr>
                <w:rFonts w:ascii="楷体" w:hAnsi="楷体" w:eastAsia="楷体"/>
                <w:szCs w:val="21"/>
                <w:u w:val="single"/>
              </w:rPr>
              <w:t xml:space="preserve"> / </w:t>
            </w:r>
            <w:r>
              <w:rPr>
                <w:rFonts w:hint="eastAsia" w:ascii="楷体" w:hAnsi="楷体" w:eastAsia="楷体"/>
                <w:szCs w:val="21"/>
                <w:u w:val="single"/>
              </w:rPr>
              <w:t>%</w:t>
            </w:r>
            <w:permEnd w:id="6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restart"/>
            <w:tcBorders>
              <w:left w:val="single" w:color="auto" w:sz="4" w:space="0"/>
            </w:tcBorders>
            <w:vAlign w:val="center"/>
          </w:tcPr>
          <w:p>
            <w:pPr>
              <w:rPr>
                <w:rFonts w:ascii="楷体" w:hAnsi="楷体" w:eastAsia="楷体"/>
                <w:szCs w:val="21"/>
              </w:rPr>
            </w:pPr>
            <w:permStart w:id="61" w:edGrp="everyone"/>
            <w:r>
              <w:rPr>
                <w:rFonts w:hint="eastAsia" w:ascii="楷体_GB2312" w:hAnsi="Times New Roman" w:eastAsia="楷体_GB2312" w:cs="Times New Roman"/>
                <w:szCs w:val="21"/>
              </w:rPr>
              <w:sym w:font="Wingdings" w:char="F06F"/>
            </w:r>
            <w:permEnd w:id="61"/>
            <w:r>
              <w:rPr>
                <w:rFonts w:ascii="楷体_GB2312" w:hAnsi="Times New Roman" w:eastAsia="楷体_GB2312" w:cs="Times New Roman"/>
                <w:szCs w:val="21"/>
              </w:rPr>
              <w:t>B2C</w:t>
            </w:r>
            <w:r>
              <w:rPr>
                <w:rFonts w:hint="eastAsia" w:ascii="楷体" w:hAnsi="楷体" w:eastAsia="楷体"/>
                <w:szCs w:val="21"/>
              </w:rPr>
              <w:t>网关借记卡</w:t>
            </w: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2" w:edGrp="everyone"/>
            <w:r>
              <w:rPr>
                <w:rFonts w:ascii="楷体" w:hAnsi="楷体" w:eastAsia="楷体"/>
                <w:szCs w:val="21"/>
                <w:u w:val="single"/>
              </w:rPr>
              <w:t xml:space="preserve"> / </w:t>
            </w:r>
            <w:r>
              <w:rPr>
                <w:rFonts w:hint="eastAsia" w:ascii="楷体" w:hAnsi="楷体" w:eastAsia="楷体"/>
                <w:szCs w:val="21"/>
                <w:u w:val="single"/>
              </w:rPr>
              <w:t>%</w:t>
            </w:r>
            <w:permEnd w:id="62"/>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continue"/>
            <w:tcBorders>
              <w:left w:val="single" w:color="auto" w:sz="4" w:space="0"/>
            </w:tcBorders>
            <w:vAlign w:val="center"/>
          </w:tcPr>
          <w:p>
            <w:pPr>
              <w:rPr>
                <w:rFonts w:ascii="楷体_GB2312" w:hAnsi="Times New Roman" w:eastAsia="楷体_GB2312" w:cs="Times New Roman"/>
                <w:szCs w:val="21"/>
              </w:rPr>
            </w:pP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3" w:edGrp="everyone"/>
            <w:r>
              <w:rPr>
                <w:rFonts w:ascii="楷体" w:hAnsi="楷体" w:eastAsia="楷体"/>
                <w:szCs w:val="21"/>
                <w:u w:val="single"/>
              </w:rPr>
              <w:t xml:space="preserve"> / </w:t>
            </w:r>
            <w:r>
              <w:rPr>
                <w:rFonts w:hint="eastAsia" w:ascii="楷体" w:hAnsi="楷体" w:eastAsia="楷体"/>
                <w:szCs w:val="21"/>
                <w:u w:val="single"/>
              </w:rPr>
              <w:t>%</w:t>
            </w:r>
            <w:permEnd w:id="63"/>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_GB2312" w:hAnsi="Times New Roman" w:eastAsia="楷体_GB2312" w:cs="Times New Roman"/>
                <w:szCs w:val="21"/>
              </w:rPr>
            </w:pPr>
          </w:p>
        </w:tc>
        <w:tc>
          <w:tcPr>
            <w:tcW w:w="853" w:type="pct"/>
            <w:gridSpan w:val="2"/>
            <w:vMerge w:val="continue"/>
            <w:tcBorders>
              <w:left w:val="single" w:color="auto" w:sz="4" w:space="0"/>
            </w:tcBorders>
            <w:vAlign w:val="center"/>
          </w:tcPr>
          <w:p>
            <w:pPr>
              <w:rPr>
                <w:rFonts w:ascii="楷体_GB2312" w:hAnsi="Times New Roman" w:eastAsia="楷体_GB2312" w:cs="Times New Roman"/>
                <w:szCs w:val="21"/>
              </w:rPr>
            </w:pPr>
          </w:p>
        </w:tc>
        <w:tc>
          <w:tcPr>
            <w:tcW w:w="659" w:type="pct"/>
            <w:tcBorders>
              <w:left w:val="single" w:color="auto" w:sz="4" w:space="0"/>
            </w:tcBorders>
            <w:vAlign w:val="center"/>
          </w:tcPr>
          <w:p>
            <w:pPr>
              <w:rPr>
                <w:rFonts w:ascii="楷体" w:hAnsi="楷体" w:eastAsia="楷体"/>
                <w:szCs w:val="21"/>
              </w:rPr>
            </w:pPr>
            <w:r>
              <w:rPr>
                <w:rFonts w:ascii="楷体" w:hAnsi="楷体" w:eastAsia="楷体"/>
                <w:szCs w:val="21"/>
              </w:rPr>
              <w:t>III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4" w:edGrp="everyone"/>
            <w:r>
              <w:rPr>
                <w:rFonts w:ascii="楷体" w:hAnsi="楷体" w:eastAsia="楷体"/>
                <w:szCs w:val="21"/>
                <w:u w:val="single"/>
              </w:rPr>
              <w:t xml:space="preserve"> / </w:t>
            </w:r>
            <w:r>
              <w:rPr>
                <w:rFonts w:hint="eastAsia" w:ascii="楷体" w:hAnsi="楷体" w:eastAsia="楷体"/>
                <w:szCs w:val="21"/>
                <w:u w:val="single"/>
              </w:rPr>
              <w:t>%</w:t>
            </w:r>
            <w:permEnd w:id="6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restart"/>
            <w:tcBorders>
              <w:right w:val="single" w:color="auto" w:sz="4" w:space="0"/>
            </w:tcBorders>
            <w:vAlign w:val="center"/>
          </w:tcPr>
          <w:p>
            <w:pPr>
              <w:jc w:val="center"/>
              <w:rPr>
                <w:rFonts w:ascii="楷体" w:hAnsi="楷体" w:eastAsia="楷体"/>
                <w:szCs w:val="21"/>
              </w:rPr>
            </w:pPr>
            <w:permStart w:id="65" w:edGrp="everyone"/>
            <w:r>
              <w:rPr>
                <w:rFonts w:hint="eastAsia" w:ascii="楷体" w:hAnsi="楷体" w:eastAsia="楷体" w:cs="Times New Roman"/>
                <w:szCs w:val="21"/>
              </w:rPr>
              <w:sym w:font="Wingdings" w:char="F06F"/>
            </w:r>
            <w:permEnd w:id="65"/>
            <w:r>
              <w:rPr>
                <w:rFonts w:hint="eastAsia" w:ascii="楷体" w:hAnsi="楷体" w:eastAsia="楷体"/>
                <w:szCs w:val="21"/>
              </w:rPr>
              <w:t>协议支付</w:t>
            </w:r>
          </w:p>
          <w:p>
            <w:pPr>
              <w:jc w:val="center"/>
              <w:rPr>
                <w:rFonts w:ascii="楷体" w:hAnsi="楷体" w:eastAsia="楷体"/>
                <w:szCs w:val="21"/>
              </w:rPr>
            </w:pPr>
            <w:r>
              <w:rPr>
                <w:rFonts w:hint="eastAsia" w:ascii="楷体" w:hAnsi="楷体" w:eastAsia="楷体"/>
                <w:szCs w:val="21"/>
              </w:rPr>
              <w:t>（贷记卡）</w:t>
            </w: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6" w:edGrp="everyone"/>
            <w:r>
              <w:rPr>
                <w:rFonts w:ascii="楷体" w:hAnsi="楷体" w:eastAsia="楷体"/>
                <w:szCs w:val="21"/>
                <w:u w:val="single"/>
              </w:rPr>
              <w:t xml:space="preserve"> / </w:t>
            </w:r>
            <w:r>
              <w:rPr>
                <w:rFonts w:hint="eastAsia" w:ascii="楷体" w:hAnsi="楷体" w:eastAsia="楷体"/>
                <w:szCs w:val="21"/>
                <w:u w:val="single"/>
              </w:rPr>
              <w:t>%</w:t>
            </w:r>
            <w:permEnd w:id="66"/>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7" w:edGrp="everyone"/>
            <w:r>
              <w:rPr>
                <w:rFonts w:ascii="楷体" w:hAnsi="楷体" w:eastAsia="楷体"/>
                <w:szCs w:val="21"/>
                <w:u w:val="single"/>
              </w:rPr>
              <w:t xml:space="preserve"> / </w:t>
            </w:r>
            <w:r>
              <w:rPr>
                <w:rFonts w:hint="eastAsia" w:ascii="楷体" w:hAnsi="楷体" w:eastAsia="楷体"/>
                <w:szCs w:val="21"/>
                <w:u w:val="single"/>
              </w:rPr>
              <w:t>%</w:t>
            </w:r>
            <w:permEnd w:id="6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restart"/>
            <w:tcBorders>
              <w:right w:val="single" w:color="auto" w:sz="4" w:space="0"/>
            </w:tcBorders>
            <w:vAlign w:val="center"/>
          </w:tcPr>
          <w:p>
            <w:pPr>
              <w:jc w:val="center"/>
              <w:rPr>
                <w:rFonts w:ascii="楷体" w:hAnsi="楷体" w:eastAsia="楷体"/>
                <w:szCs w:val="21"/>
              </w:rPr>
            </w:pPr>
            <w:permStart w:id="68" w:edGrp="everyone"/>
            <w:r>
              <w:rPr>
                <w:rFonts w:hint="eastAsia" w:ascii="楷体" w:hAnsi="楷体" w:eastAsia="楷体" w:cs="Times New Roman"/>
                <w:szCs w:val="21"/>
              </w:rPr>
              <w:sym w:font="Wingdings" w:char="F06F"/>
            </w:r>
            <w:permEnd w:id="68"/>
            <w:r>
              <w:rPr>
                <w:rFonts w:hint="eastAsia" w:ascii="楷体" w:hAnsi="楷体" w:eastAsia="楷体"/>
                <w:szCs w:val="21"/>
              </w:rPr>
              <w:t>协议支付</w:t>
            </w:r>
          </w:p>
          <w:p>
            <w:pPr>
              <w:jc w:val="center"/>
              <w:rPr>
                <w:rFonts w:ascii="楷体" w:hAnsi="楷体" w:eastAsia="楷体"/>
                <w:szCs w:val="21"/>
              </w:rPr>
            </w:pPr>
            <w:r>
              <w:rPr>
                <w:rFonts w:hint="eastAsia" w:ascii="楷体" w:hAnsi="楷体" w:eastAsia="楷体"/>
                <w:szCs w:val="21"/>
              </w:rPr>
              <w:t>（借记卡）</w:t>
            </w: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69" w:edGrp="everyone"/>
            <w:r>
              <w:rPr>
                <w:rFonts w:ascii="楷体" w:hAnsi="楷体" w:eastAsia="楷体"/>
                <w:szCs w:val="21"/>
                <w:u w:val="single"/>
              </w:rPr>
              <w:t xml:space="preserve"> / </w:t>
            </w:r>
            <w:r>
              <w:rPr>
                <w:rFonts w:hint="eastAsia" w:ascii="楷体" w:hAnsi="楷体" w:eastAsia="楷体"/>
                <w:szCs w:val="21"/>
                <w:u w:val="single"/>
              </w:rPr>
              <w:t>%</w:t>
            </w:r>
            <w:permEnd w:id="69"/>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70" w:edGrp="everyone"/>
            <w:r>
              <w:rPr>
                <w:rFonts w:ascii="楷体" w:hAnsi="楷体" w:eastAsia="楷体"/>
                <w:szCs w:val="21"/>
                <w:u w:val="single"/>
              </w:rPr>
              <w:t xml:space="preserve"> / </w:t>
            </w:r>
            <w:r>
              <w:rPr>
                <w:rFonts w:hint="eastAsia" w:ascii="楷体" w:hAnsi="楷体" w:eastAsia="楷体"/>
                <w:szCs w:val="21"/>
                <w:u w:val="single"/>
              </w:rPr>
              <w:t>%</w:t>
            </w:r>
            <w:permEnd w:id="7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59"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right w:val="single" w:color="auto" w:sz="4" w:space="0"/>
            </w:tcBorders>
            <w:vAlign w:val="center"/>
          </w:tcPr>
          <w:p>
            <w:pPr>
              <w:jc w:val="center"/>
              <w:rPr>
                <w:rFonts w:ascii="楷体" w:hAnsi="楷体" w:eastAsia="楷体"/>
                <w:szCs w:val="21"/>
              </w:rPr>
            </w:pPr>
            <w:r>
              <w:rPr>
                <w:rFonts w:ascii="楷体" w:hAnsi="楷体" w:eastAsia="楷体"/>
                <w:szCs w:val="21"/>
              </w:rPr>
              <w:t>III</w:t>
            </w:r>
            <w:r>
              <w:rPr>
                <w:rFonts w:hint="eastAsia" w:ascii="楷体" w:hAnsi="楷体" w:eastAsia="楷体"/>
                <w:szCs w:val="21"/>
              </w:rPr>
              <w:t>类银行</w:t>
            </w:r>
          </w:p>
        </w:tc>
        <w:tc>
          <w:tcPr>
            <w:tcW w:w="1643" w:type="pct"/>
            <w:tcBorders>
              <w:left w:val="single" w:color="auto" w:sz="4" w:space="0"/>
            </w:tcBorders>
            <w:vAlign w:val="center"/>
          </w:tcPr>
          <w:p>
            <w:pPr>
              <w:jc w:val="center"/>
              <w:rPr>
                <w:rFonts w:ascii="楷体" w:hAnsi="楷体" w:eastAsia="楷体"/>
                <w:szCs w:val="21"/>
              </w:rPr>
            </w:pPr>
            <w:permStart w:id="71" w:edGrp="everyone"/>
            <w:r>
              <w:rPr>
                <w:rFonts w:ascii="楷体" w:hAnsi="楷体" w:eastAsia="楷体"/>
                <w:szCs w:val="21"/>
                <w:u w:val="single"/>
              </w:rPr>
              <w:t xml:space="preserve">/  </w:t>
            </w:r>
            <w:r>
              <w:rPr>
                <w:rFonts w:hint="eastAsia" w:ascii="楷体" w:hAnsi="楷体" w:eastAsia="楷体"/>
                <w:szCs w:val="21"/>
                <w:u w:val="single"/>
              </w:rPr>
              <w:t>%</w:t>
            </w:r>
            <w:permEnd w:id="7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restart"/>
            <w:tcBorders>
              <w:right w:val="single" w:color="auto" w:sz="4" w:space="0"/>
            </w:tcBorders>
            <w:vAlign w:val="center"/>
          </w:tcPr>
          <w:p>
            <w:pPr>
              <w:rPr>
                <w:rFonts w:ascii="楷体" w:hAnsi="楷体" w:eastAsia="楷体"/>
                <w:szCs w:val="21"/>
              </w:rPr>
            </w:pPr>
            <w:r>
              <w:rPr>
                <w:rFonts w:hint="eastAsia" w:ascii="楷体" w:hAnsi="楷体" w:eastAsia="楷体"/>
                <w:szCs w:val="21"/>
              </w:rPr>
              <w:t>条码支付*</w:t>
            </w:r>
          </w:p>
        </w:tc>
        <w:tc>
          <w:tcPr>
            <w:tcW w:w="1512" w:type="pct"/>
            <w:gridSpan w:val="3"/>
            <w:tcBorders>
              <w:left w:val="single" w:color="auto" w:sz="4" w:space="0"/>
            </w:tcBorders>
            <w:vAlign w:val="center"/>
          </w:tcPr>
          <w:p>
            <w:pPr>
              <w:rPr>
                <w:rFonts w:ascii="楷体" w:hAnsi="楷体" w:eastAsia="楷体"/>
                <w:szCs w:val="21"/>
              </w:rPr>
            </w:pPr>
            <w:permStart w:id="72" w:edGrp="everyone"/>
            <w:r>
              <w:rPr>
                <w:rFonts w:hint="eastAsia" w:ascii="楷体_GB2312" w:hAnsi="Times New Roman" w:eastAsia="楷体_GB2312" w:cs="Times New Roman"/>
                <w:szCs w:val="21"/>
              </w:rPr>
              <w:sym w:font="Wingdings" w:char="F06F"/>
            </w:r>
            <w:permEnd w:id="72"/>
            <w:r>
              <w:rPr>
                <w:rFonts w:hint="eastAsia" w:ascii="楷体" w:hAnsi="楷体" w:eastAsia="楷体"/>
                <w:szCs w:val="21"/>
              </w:rPr>
              <w:t>银联贷记卡小额交易</w:t>
            </w:r>
            <w:permStart w:id="73" w:edGrp="everyone"/>
            <w:r>
              <w:rPr>
                <w:rFonts w:ascii="楷体" w:hAnsi="楷体" w:eastAsia="楷体"/>
                <w:szCs w:val="21"/>
                <w:u w:val="single"/>
              </w:rPr>
              <w:t xml:space="preserve">    </w:t>
            </w:r>
            <w:r>
              <w:rPr>
                <w:rFonts w:hint="eastAsia" w:ascii="楷体" w:hAnsi="楷体" w:eastAsia="楷体"/>
                <w:szCs w:val="21"/>
                <w:u w:val="single"/>
              </w:rPr>
              <w:t>%</w:t>
            </w:r>
            <w:permEnd w:id="73"/>
            <w:r>
              <w:rPr>
                <w:rFonts w:hint="eastAsia" w:ascii="楷体" w:hAnsi="楷体" w:eastAsia="楷体"/>
                <w:szCs w:val="21"/>
              </w:rPr>
              <w:t>，</w:t>
            </w:r>
          </w:p>
          <w:p>
            <w:pPr>
              <w:rPr>
                <w:rFonts w:ascii="楷体" w:hAnsi="楷体" w:eastAsia="楷体"/>
                <w:szCs w:val="21"/>
              </w:rPr>
            </w:pPr>
            <w:r>
              <w:rPr>
                <w:rFonts w:ascii="楷体" w:hAnsi="楷体" w:eastAsia="楷体"/>
                <w:szCs w:val="21"/>
              </w:rPr>
              <w:t>封顶</w:t>
            </w:r>
            <w:permStart w:id="74"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74"/>
            <w:r>
              <w:rPr>
                <w:rFonts w:ascii="楷体" w:hAnsi="楷体" w:eastAsia="楷体"/>
                <w:szCs w:val="21"/>
              </w:rPr>
              <w:t xml:space="preserve">  </w:t>
            </w:r>
          </w:p>
        </w:tc>
        <w:tc>
          <w:tcPr>
            <w:tcW w:w="1643" w:type="pct"/>
            <w:tcBorders>
              <w:left w:val="single" w:color="auto" w:sz="4" w:space="0"/>
            </w:tcBorders>
            <w:vAlign w:val="center"/>
          </w:tcPr>
          <w:p>
            <w:pPr>
              <w:rPr>
                <w:rFonts w:ascii="楷体" w:hAnsi="楷体" w:eastAsia="楷体"/>
                <w:szCs w:val="21"/>
              </w:rPr>
            </w:pPr>
            <w:permStart w:id="75" w:edGrp="everyone"/>
            <w:r>
              <w:rPr>
                <w:rFonts w:hint="eastAsia" w:ascii="楷体_GB2312" w:hAnsi="Times New Roman" w:eastAsia="楷体_GB2312" w:cs="Times New Roman"/>
                <w:szCs w:val="21"/>
              </w:rPr>
              <w:sym w:font="Wingdings" w:char="F06F"/>
            </w:r>
            <w:permEnd w:id="75"/>
            <w:r>
              <w:rPr>
                <w:rFonts w:hint="eastAsia" w:ascii="楷体" w:hAnsi="楷体" w:eastAsia="楷体"/>
                <w:szCs w:val="21"/>
              </w:rPr>
              <w:t>银联贷记卡大额交易</w:t>
            </w:r>
            <w:permStart w:id="76" w:edGrp="everyone"/>
            <w:r>
              <w:rPr>
                <w:rFonts w:ascii="楷体" w:hAnsi="楷体" w:eastAsia="楷体"/>
                <w:szCs w:val="21"/>
                <w:u w:val="single"/>
              </w:rPr>
              <w:t xml:space="preserve">     </w:t>
            </w:r>
            <w:r>
              <w:rPr>
                <w:rFonts w:hint="eastAsia" w:ascii="楷体" w:hAnsi="楷体" w:eastAsia="楷体"/>
                <w:szCs w:val="21"/>
                <w:u w:val="single"/>
              </w:rPr>
              <w:t>%</w:t>
            </w:r>
            <w:permEnd w:id="76"/>
            <w:r>
              <w:rPr>
                <w:rFonts w:hint="eastAsia" w:ascii="楷体" w:hAnsi="楷体" w:eastAsia="楷体"/>
                <w:szCs w:val="21"/>
              </w:rPr>
              <w:t>，</w:t>
            </w:r>
          </w:p>
          <w:p>
            <w:pPr>
              <w:rPr>
                <w:rFonts w:ascii="楷体" w:hAnsi="楷体" w:eastAsia="楷体"/>
                <w:szCs w:val="21"/>
              </w:rPr>
            </w:pPr>
            <w:r>
              <w:rPr>
                <w:rFonts w:ascii="楷体" w:hAnsi="楷体" w:eastAsia="楷体"/>
                <w:szCs w:val="21"/>
              </w:rPr>
              <w:t>封顶</w:t>
            </w:r>
            <w:permStart w:id="77"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7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tcBorders>
            <w:vAlign w:val="center"/>
          </w:tcPr>
          <w:p>
            <w:pPr>
              <w:rPr>
                <w:rFonts w:ascii="楷体" w:hAnsi="楷体" w:eastAsia="楷体"/>
                <w:szCs w:val="21"/>
              </w:rPr>
            </w:pPr>
            <w:permStart w:id="78" w:edGrp="everyone"/>
            <w:r>
              <w:rPr>
                <w:rFonts w:hint="eastAsia" w:ascii="楷体_GB2312" w:hAnsi="Times New Roman" w:eastAsia="楷体_GB2312" w:cs="Times New Roman"/>
                <w:szCs w:val="21"/>
              </w:rPr>
              <w:sym w:font="Wingdings" w:char="F06F"/>
            </w:r>
            <w:permEnd w:id="78"/>
            <w:r>
              <w:rPr>
                <w:rFonts w:hint="eastAsia" w:ascii="楷体" w:hAnsi="楷体" w:eastAsia="楷体"/>
                <w:szCs w:val="21"/>
              </w:rPr>
              <w:t>银联借记卡小额交易</w:t>
            </w:r>
            <w:permStart w:id="79" w:edGrp="everyone"/>
            <w:r>
              <w:rPr>
                <w:rFonts w:ascii="楷体" w:hAnsi="楷体" w:eastAsia="楷体"/>
                <w:szCs w:val="21"/>
                <w:u w:val="single"/>
              </w:rPr>
              <w:t xml:space="preserve">    </w:t>
            </w:r>
            <w:r>
              <w:rPr>
                <w:rFonts w:hint="eastAsia" w:ascii="楷体" w:hAnsi="楷体" w:eastAsia="楷体"/>
                <w:szCs w:val="21"/>
                <w:u w:val="single"/>
              </w:rPr>
              <w:t>%</w:t>
            </w:r>
            <w:permEnd w:id="79"/>
            <w:r>
              <w:rPr>
                <w:rFonts w:hint="eastAsia" w:ascii="楷体" w:hAnsi="楷体" w:eastAsia="楷体"/>
                <w:szCs w:val="21"/>
              </w:rPr>
              <w:t>，</w:t>
            </w:r>
          </w:p>
          <w:p>
            <w:pPr>
              <w:rPr>
                <w:rFonts w:ascii="楷体_GB2312" w:hAnsi="Times New Roman" w:eastAsia="楷体_GB2312" w:cs="Times New Roman"/>
                <w:szCs w:val="21"/>
              </w:rPr>
            </w:pPr>
            <w:r>
              <w:rPr>
                <w:rFonts w:ascii="楷体" w:hAnsi="楷体" w:eastAsia="楷体"/>
                <w:szCs w:val="21"/>
              </w:rPr>
              <w:t>封顶</w:t>
            </w:r>
            <w:permStart w:id="80"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80"/>
          </w:p>
        </w:tc>
        <w:tc>
          <w:tcPr>
            <w:tcW w:w="1643" w:type="pct"/>
            <w:tcBorders>
              <w:left w:val="single" w:color="auto" w:sz="4" w:space="0"/>
            </w:tcBorders>
            <w:vAlign w:val="center"/>
          </w:tcPr>
          <w:p>
            <w:pPr>
              <w:rPr>
                <w:rFonts w:ascii="楷体" w:hAnsi="楷体" w:eastAsia="楷体"/>
                <w:szCs w:val="21"/>
              </w:rPr>
            </w:pPr>
            <w:permStart w:id="81" w:edGrp="everyone"/>
            <w:r>
              <w:rPr>
                <w:rFonts w:hint="eastAsia" w:ascii="楷体_GB2312" w:hAnsi="Times New Roman" w:eastAsia="楷体_GB2312" w:cs="Times New Roman"/>
                <w:szCs w:val="21"/>
              </w:rPr>
              <w:sym w:font="Wingdings" w:char="F06F"/>
            </w:r>
            <w:permEnd w:id="81"/>
            <w:r>
              <w:rPr>
                <w:rFonts w:hint="eastAsia" w:ascii="楷体" w:hAnsi="楷体" w:eastAsia="楷体"/>
                <w:szCs w:val="21"/>
              </w:rPr>
              <w:t>银联借记卡大额交易</w:t>
            </w:r>
            <w:permStart w:id="82" w:edGrp="everyone"/>
            <w:r>
              <w:rPr>
                <w:rFonts w:ascii="楷体" w:hAnsi="楷体" w:eastAsia="楷体"/>
                <w:szCs w:val="21"/>
                <w:u w:val="single"/>
              </w:rPr>
              <w:t xml:space="preserve">   %</w:t>
            </w:r>
            <w:permEnd w:id="82"/>
            <w:r>
              <w:rPr>
                <w:rFonts w:hint="eastAsia" w:ascii="楷体" w:hAnsi="楷体" w:eastAsia="楷体"/>
                <w:szCs w:val="21"/>
              </w:rPr>
              <w:t>，</w:t>
            </w:r>
          </w:p>
          <w:p>
            <w:pPr>
              <w:rPr>
                <w:rFonts w:ascii="楷体_GB2312" w:hAnsi="Times New Roman" w:eastAsia="楷体_GB2312" w:cs="Times New Roman"/>
                <w:szCs w:val="21"/>
              </w:rPr>
            </w:pPr>
            <w:r>
              <w:rPr>
                <w:rFonts w:ascii="楷体" w:hAnsi="楷体" w:eastAsia="楷体"/>
                <w:szCs w:val="21"/>
              </w:rPr>
              <w:t>封顶</w:t>
            </w:r>
            <w:permStart w:id="83" w:edGrp="everyone"/>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83"/>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3"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rPr>
                <w:rFonts w:ascii="楷体" w:hAnsi="楷体" w:eastAsia="楷体"/>
                <w:szCs w:val="21"/>
              </w:rPr>
            </w:pPr>
          </w:p>
        </w:tc>
        <w:tc>
          <w:tcPr>
            <w:tcW w:w="693" w:type="pct"/>
            <w:gridSpan w:val="2"/>
            <w:vMerge w:val="continue"/>
            <w:tcBorders>
              <w:right w:val="single" w:color="auto" w:sz="4" w:space="0"/>
            </w:tcBorders>
            <w:vAlign w:val="center"/>
          </w:tcPr>
          <w:p>
            <w:pPr>
              <w:rPr>
                <w:rFonts w:ascii="楷体" w:hAnsi="楷体" w:eastAsia="楷体"/>
                <w:szCs w:val="21"/>
              </w:rPr>
            </w:pPr>
          </w:p>
        </w:tc>
        <w:tc>
          <w:tcPr>
            <w:tcW w:w="1512" w:type="pct"/>
            <w:gridSpan w:val="3"/>
            <w:tcBorders>
              <w:left w:val="single" w:color="auto" w:sz="4" w:space="0"/>
            </w:tcBorders>
            <w:vAlign w:val="center"/>
          </w:tcPr>
          <w:p>
            <w:pPr>
              <w:rPr>
                <w:rFonts w:ascii="楷体_GB2312" w:hAnsi="Times New Roman" w:eastAsia="楷体_GB2312" w:cs="Times New Roman"/>
                <w:szCs w:val="21"/>
              </w:rPr>
            </w:pPr>
            <w:permStart w:id="84" w:edGrp="everyone"/>
            <w:r>
              <w:rPr>
                <w:rFonts w:hint="eastAsia" w:ascii="楷体_GB2312" w:hAnsi="Times New Roman" w:eastAsia="楷体_GB2312" w:cs="Times New Roman"/>
                <w:szCs w:val="21"/>
              </w:rPr>
              <w:sym w:font="Wingdings" w:char="F06F"/>
            </w:r>
            <w:permEnd w:id="84"/>
            <w:r>
              <w:rPr>
                <w:rFonts w:hint="eastAsia" w:ascii="楷体" w:hAnsi="楷体" w:eastAsia="楷体"/>
                <w:szCs w:val="21"/>
              </w:rPr>
              <w:t>微信</w:t>
            </w:r>
            <w:permStart w:id="85" w:edGrp="everyone"/>
            <w:r>
              <w:rPr>
                <w:rFonts w:ascii="楷体" w:hAnsi="楷体" w:eastAsia="楷体"/>
                <w:szCs w:val="21"/>
                <w:u w:val="single"/>
              </w:rPr>
              <w:t xml:space="preserve">    </w:t>
            </w:r>
            <w:r>
              <w:rPr>
                <w:rFonts w:hint="eastAsia" w:ascii="楷体" w:hAnsi="楷体" w:eastAsia="楷体"/>
                <w:szCs w:val="21"/>
                <w:u w:val="single"/>
              </w:rPr>
              <w:t>%</w:t>
            </w:r>
            <w:permEnd w:id="85"/>
          </w:p>
        </w:tc>
        <w:tc>
          <w:tcPr>
            <w:tcW w:w="1643" w:type="pct"/>
            <w:tcBorders>
              <w:left w:val="single" w:color="auto" w:sz="4" w:space="0"/>
            </w:tcBorders>
            <w:vAlign w:val="center"/>
          </w:tcPr>
          <w:p>
            <w:pPr>
              <w:rPr>
                <w:rFonts w:ascii="楷体_GB2312" w:hAnsi="Times New Roman" w:eastAsia="楷体_GB2312" w:cs="Times New Roman"/>
                <w:szCs w:val="21"/>
              </w:rPr>
            </w:pPr>
            <w:permStart w:id="86" w:edGrp="everyone"/>
            <w:r>
              <w:rPr>
                <w:rFonts w:hint="eastAsia" w:ascii="楷体_GB2312" w:hAnsi="Times New Roman" w:eastAsia="楷体_GB2312" w:cs="Times New Roman"/>
                <w:szCs w:val="21"/>
              </w:rPr>
              <w:sym w:font="Wingdings" w:char="F06F"/>
            </w:r>
            <w:permEnd w:id="86"/>
            <w:r>
              <w:rPr>
                <w:rFonts w:hint="eastAsia" w:ascii="楷体" w:hAnsi="楷体" w:eastAsia="楷体"/>
                <w:szCs w:val="21"/>
              </w:rPr>
              <w:t>支付宝</w:t>
            </w:r>
            <w:permStart w:id="87" w:edGrp="everyone"/>
            <w:r>
              <w:rPr>
                <w:rFonts w:ascii="楷体" w:hAnsi="楷体" w:eastAsia="楷体"/>
                <w:szCs w:val="21"/>
                <w:u w:val="single"/>
              </w:rPr>
              <w:t xml:space="preserve">    %</w:t>
            </w:r>
            <w:permEnd w:id="87"/>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restart"/>
            <w:tcBorders>
              <w:right w:val="single" w:color="auto" w:sz="4" w:space="0"/>
            </w:tcBorders>
            <w:vAlign w:val="center"/>
          </w:tcPr>
          <w:p>
            <w:pPr>
              <w:jc w:val="center"/>
              <w:rPr>
                <w:rFonts w:ascii="楷体" w:hAnsi="楷体" w:eastAsia="楷体"/>
                <w:szCs w:val="21"/>
              </w:rPr>
            </w:pPr>
            <w:r>
              <w:rPr>
                <w:rFonts w:hint="eastAsia" w:ascii="楷体" w:hAnsi="楷体" w:eastAsia="楷体"/>
                <w:szCs w:val="21"/>
              </w:rPr>
              <w:t>增值</w:t>
            </w:r>
          </w:p>
          <w:p>
            <w:pPr>
              <w:jc w:val="center"/>
              <w:rPr>
                <w:rFonts w:ascii="楷体" w:hAnsi="楷体" w:eastAsia="楷体"/>
                <w:szCs w:val="21"/>
              </w:rPr>
            </w:pPr>
            <w:r>
              <w:rPr>
                <w:rFonts w:hint="eastAsia" w:ascii="楷体" w:hAnsi="楷体" w:eastAsia="楷体"/>
                <w:szCs w:val="21"/>
              </w:rPr>
              <w:t>业务</w:t>
            </w:r>
          </w:p>
        </w:tc>
        <w:tc>
          <w:tcPr>
            <w:tcW w:w="349" w:type="pct"/>
            <w:vMerge w:val="restart"/>
            <w:tcBorders>
              <w:right w:val="single" w:color="auto" w:sz="4" w:space="0"/>
            </w:tcBorders>
            <w:vAlign w:val="center"/>
          </w:tcPr>
          <w:p>
            <w:pPr>
              <w:rPr>
                <w:rFonts w:ascii="楷体" w:hAnsi="楷体" w:eastAsia="楷体"/>
                <w:szCs w:val="21"/>
              </w:rPr>
            </w:pPr>
            <w:r>
              <w:rPr>
                <w:rFonts w:hint="eastAsia" w:ascii="楷体" w:hAnsi="楷体" w:eastAsia="楷体"/>
                <w:szCs w:val="21"/>
              </w:rPr>
              <w:t>取现</w:t>
            </w:r>
          </w:p>
        </w:tc>
        <w:tc>
          <w:tcPr>
            <w:tcW w:w="1856" w:type="pct"/>
            <w:gridSpan w:val="4"/>
            <w:tcBorders>
              <w:right w:val="single" w:color="auto" w:sz="4" w:space="0"/>
            </w:tcBorders>
            <w:vAlign w:val="center"/>
          </w:tcPr>
          <w:p>
            <w:pPr>
              <w:rPr>
                <w:rFonts w:ascii="楷体_GB2312" w:hAnsi="Times New Roman" w:eastAsia="楷体_GB2312" w:cs="Times New Roman"/>
                <w:szCs w:val="21"/>
              </w:rPr>
            </w:pPr>
            <w:permStart w:id="88" w:edGrp="everyone"/>
            <w:r>
              <w:rPr>
                <w:rFonts w:hint="eastAsia" w:ascii="楷体_GB2312" w:hAnsi="Times New Roman" w:eastAsia="楷体_GB2312" w:cs="Times New Roman"/>
                <w:szCs w:val="21"/>
              </w:rPr>
              <w:sym w:font="Wingdings" w:char="F06F"/>
            </w:r>
            <w:permEnd w:id="88"/>
            <w:r>
              <w:rPr>
                <w:rFonts w:hint="eastAsia" w:ascii="楷体" w:hAnsi="楷体" w:eastAsia="楷体"/>
                <w:szCs w:val="21"/>
              </w:rPr>
              <w:t>T+</w:t>
            </w:r>
            <w:r>
              <w:rPr>
                <w:rFonts w:ascii="楷体" w:hAnsi="楷体" w:eastAsia="楷体"/>
                <w:szCs w:val="21"/>
              </w:rPr>
              <w:t>1</w:t>
            </w:r>
            <w:r>
              <w:rPr>
                <w:rFonts w:hint="eastAsia" w:ascii="楷体_GB2312" w:hAnsi="Times New Roman" w:eastAsia="楷体_GB2312" w:cs="Times New Roman"/>
                <w:szCs w:val="21"/>
              </w:rPr>
              <w:t>日</w:t>
            </w:r>
            <w:permStart w:id="89" w:edGrp="everyone"/>
            <w:r>
              <w:rPr>
                <w:rFonts w:hint="eastAsia" w:ascii="楷体" w:hAnsi="楷体" w:eastAsia="楷体"/>
                <w:szCs w:val="21"/>
              </w:rPr>
              <w:t>每笔</w:t>
            </w:r>
            <w:r>
              <w:rPr>
                <w:rFonts w:hint="eastAsia" w:ascii="楷体" w:hAnsi="楷体" w:eastAsia="楷体"/>
                <w:szCs w:val="21"/>
                <w:u w:val="single"/>
              </w:rPr>
              <w:t xml:space="preserve">     </w:t>
            </w:r>
            <w:r>
              <w:rPr>
                <w:rFonts w:hint="eastAsia" w:ascii="楷体" w:hAnsi="楷体" w:eastAsia="楷体"/>
                <w:szCs w:val="21"/>
              </w:rPr>
              <w:t>元</w:t>
            </w:r>
            <w:permEnd w:id="89"/>
          </w:p>
        </w:tc>
        <w:tc>
          <w:tcPr>
            <w:tcW w:w="1643" w:type="pct"/>
            <w:tcBorders>
              <w:left w:val="single" w:color="auto" w:sz="4" w:space="0"/>
            </w:tcBorders>
            <w:vAlign w:val="center"/>
          </w:tcPr>
          <w:p>
            <w:pPr>
              <w:rPr>
                <w:rFonts w:ascii="楷体" w:hAnsi="楷体" w:eastAsia="楷体"/>
                <w:szCs w:val="21"/>
                <w:u w:val="single"/>
              </w:rPr>
            </w:pPr>
            <w:permStart w:id="90" w:edGrp="everyone"/>
            <w:r>
              <w:rPr>
                <w:rFonts w:hint="eastAsia" w:ascii="楷体_GB2312" w:hAnsi="Times New Roman" w:eastAsia="楷体_GB2312" w:cs="Times New Roman"/>
                <w:szCs w:val="21"/>
              </w:rPr>
              <w:sym w:font="Wingdings" w:char="F06F"/>
            </w:r>
            <w:permEnd w:id="90"/>
            <w:r>
              <w:rPr>
                <w:rFonts w:ascii="楷体_GB2312" w:hAnsi="Times New Roman" w:eastAsia="楷体_GB2312" w:cs="Times New Roman"/>
                <w:szCs w:val="21"/>
              </w:rPr>
              <w:t>T</w:t>
            </w:r>
            <w:r>
              <w:rPr>
                <w:rFonts w:hint="eastAsia" w:ascii="楷体_GB2312" w:hAnsi="Times New Roman" w:eastAsia="楷体_GB2312" w:cs="Times New Roman"/>
                <w:szCs w:val="21"/>
              </w:rPr>
              <w:t>日</w:t>
            </w:r>
            <w:permStart w:id="91" w:edGrp="everyone"/>
            <w:r>
              <w:rPr>
                <w:rFonts w:ascii="楷体" w:hAnsi="楷体" w:eastAsia="楷体"/>
                <w:szCs w:val="21"/>
                <w:u w:val="single"/>
              </w:rPr>
              <w:t xml:space="preserve">     </w:t>
            </w:r>
            <w:permEnd w:id="9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vMerge w:val="continue"/>
            <w:tcBorders>
              <w:right w:val="single" w:color="auto" w:sz="4" w:space="0"/>
            </w:tcBorders>
            <w:vAlign w:val="center"/>
          </w:tcPr>
          <w:p>
            <w:pPr>
              <w:rPr>
                <w:rFonts w:ascii="楷体" w:hAnsi="楷体" w:eastAsia="楷体"/>
                <w:szCs w:val="21"/>
              </w:rPr>
            </w:pPr>
          </w:p>
        </w:tc>
        <w:tc>
          <w:tcPr>
            <w:tcW w:w="1856" w:type="pct"/>
            <w:gridSpan w:val="4"/>
            <w:tcBorders>
              <w:right w:val="single" w:color="auto" w:sz="4" w:space="0"/>
            </w:tcBorders>
            <w:vAlign w:val="center"/>
          </w:tcPr>
          <w:p>
            <w:pPr>
              <w:rPr>
                <w:rFonts w:ascii="楷体" w:hAnsi="楷体" w:eastAsia="楷体"/>
                <w:szCs w:val="21"/>
              </w:rPr>
            </w:pPr>
            <w:permStart w:id="92" w:edGrp="everyone"/>
            <w:r>
              <w:rPr>
                <w:rFonts w:hint="eastAsia" w:ascii="楷体_GB2312" w:hAnsi="Times New Roman" w:eastAsia="楷体_GB2312" w:cs="Times New Roman"/>
                <w:szCs w:val="21"/>
              </w:rPr>
              <w:sym w:font="Wingdings" w:char="F06F"/>
            </w:r>
            <w:permEnd w:id="92"/>
            <w:r>
              <w:rPr>
                <w:rFonts w:ascii="楷体_GB2312" w:hAnsi="Times New Roman" w:eastAsia="楷体_GB2312" w:cs="Times New Roman"/>
                <w:szCs w:val="21"/>
              </w:rPr>
              <w:t>D</w:t>
            </w:r>
            <w:r>
              <w:rPr>
                <w:rFonts w:hint="eastAsia" w:ascii="楷体_GB2312" w:hAnsi="Times New Roman" w:eastAsia="楷体_GB2312" w:cs="Times New Roman"/>
                <w:szCs w:val="21"/>
              </w:rPr>
              <w:t>+</w:t>
            </w:r>
            <w:r>
              <w:rPr>
                <w:rFonts w:ascii="楷体_GB2312" w:hAnsi="Times New Roman" w:eastAsia="楷体_GB2312" w:cs="Times New Roman"/>
                <w:szCs w:val="21"/>
              </w:rPr>
              <w:t>0</w:t>
            </w:r>
            <w:r>
              <w:rPr>
                <w:rFonts w:hint="eastAsia" w:ascii="楷体_GB2312" w:hAnsi="Times New Roman" w:eastAsia="楷体_GB2312" w:cs="Times New Roman"/>
                <w:szCs w:val="21"/>
              </w:rPr>
              <w:t>日</w:t>
            </w:r>
            <w:permStart w:id="93" w:edGrp="everyone"/>
            <w:r>
              <w:rPr>
                <w:rFonts w:ascii="楷体" w:hAnsi="楷体" w:eastAsia="楷体"/>
                <w:szCs w:val="21"/>
                <w:u w:val="single"/>
              </w:rPr>
              <w:t xml:space="preserve">    </w:t>
            </w:r>
            <w:permEnd w:id="93"/>
          </w:p>
        </w:tc>
        <w:tc>
          <w:tcPr>
            <w:tcW w:w="1643" w:type="pct"/>
            <w:tcBorders>
              <w:left w:val="single" w:color="auto" w:sz="4" w:space="0"/>
            </w:tcBorders>
            <w:vAlign w:val="center"/>
          </w:tcPr>
          <w:p>
            <w:pPr>
              <w:rPr>
                <w:rFonts w:ascii="楷体" w:hAnsi="楷体" w:eastAsia="楷体"/>
                <w:szCs w:val="21"/>
              </w:rPr>
            </w:pPr>
            <w:permStart w:id="94" w:edGrp="everyone"/>
            <w:r>
              <w:rPr>
                <w:rFonts w:hint="eastAsia" w:ascii="楷体_GB2312" w:hAnsi="Times New Roman" w:eastAsia="楷体_GB2312" w:cs="Times New Roman"/>
                <w:szCs w:val="21"/>
              </w:rPr>
              <w:sym w:font="Wingdings" w:char="F06F"/>
            </w:r>
            <w:r>
              <w:rPr>
                <w:rFonts w:hint="eastAsia" w:ascii="楷体_GB2312" w:hAnsi="Times New Roman" w:eastAsia="楷体_GB2312" w:cs="Times New Roman"/>
                <w:szCs w:val="21"/>
              </w:rPr>
              <w:t>自定义时间</w:t>
            </w:r>
            <w:r>
              <w:rPr>
                <w:rFonts w:ascii="楷体" w:hAnsi="楷体" w:eastAsia="楷体"/>
                <w:szCs w:val="21"/>
                <w:u w:val="single"/>
              </w:rPr>
              <w:t xml:space="preserve">   /  </w:t>
            </w:r>
            <w:permEnd w:id="94"/>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122" w:hRule="atLeast"/>
        </w:trPr>
        <w:tc>
          <w:tcPr>
            <w:tcW w:w="198" w:type="pct"/>
            <w:vMerge w:val="continue"/>
            <w:vAlign w:val="center"/>
          </w:tcPr>
          <w:p>
            <w:pPr>
              <w:jc w:val="center"/>
              <w:rPr>
                <w:rFonts w:ascii="楷体" w:hAnsi="楷体" w:eastAsia="楷体"/>
                <w:szCs w:val="21"/>
              </w:rPr>
            </w:pPr>
          </w:p>
        </w:tc>
        <w:tc>
          <w:tcPr>
            <w:tcW w:w="486" w:type="pct"/>
            <w:vMerge w:val="continue"/>
            <w:vAlign w:val="center"/>
          </w:tcPr>
          <w:p>
            <w:pPr>
              <w:jc w:val="center"/>
              <w:rPr>
                <w:rFonts w:ascii="楷体" w:hAnsi="楷体" w:eastAsia="楷体"/>
                <w:szCs w:val="21"/>
              </w:rPr>
            </w:pPr>
          </w:p>
        </w:tc>
        <w:tc>
          <w:tcPr>
            <w:tcW w:w="468" w:type="pct"/>
            <w:vMerge w:val="continue"/>
            <w:tcBorders>
              <w:right w:val="single" w:color="auto" w:sz="4" w:space="0"/>
            </w:tcBorders>
            <w:vAlign w:val="center"/>
          </w:tcPr>
          <w:p>
            <w:pPr>
              <w:jc w:val="center"/>
              <w:rPr>
                <w:rFonts w:ascii="楷体" w:hAnsi="楷体" w:eastAsia="楷体"/>
                <w:szCs w:val="21"/>
              </w:rPr>
            </w:pPr>
          </w:p>
        </w:tc>
        <w:tc>
          <w:tcPr>
            <w:tcW w:w="349" w:type="pct"/>
            <w:tcBorders>
              <w:right w:val="single" w:color="auto" w:sz="4" w:space="0"/>
            </w:tcBorders>
            <w:vAlign w:val="center"/>
          </w:tcPr>
          <w:p>
            <w:pPr>
              <w:rPr>
                <w:rFonts w:ascii="楷体" w:hAnsi="楷体" w:eastAsia="楷体"/>
                <w:szCs w:val="21"/>
              </w:rPr>
            </w:pPr>
            <w:r>
              <w:rPr>
                <w:rFonts w:hint="eastAsia" w:ascii="楷体" w:hAnsi="楷体" w:eastAsia="楷体"/>
                <w:szCs w:val="21"/>
              </w:rPr>
              <w:t>分账</w:t>
            </w:r>
          </w:p>
        </w:tc>
        <w:tc>
          <w:tcPr>
            <w:tcW w:w="3498" w:type="pct"/>
            <w:gridSpan w:val="5"/>
            <w:vAlign w:val="center"/>
          </w:tcPr>
          <w:p>
            <w:pPr>
              <w:rPr>
                <w:rFonts w:ascii="楷体" w:hAnsi="楷体" w:eastAsia="楷体"/>
                <w:szCs w:val="21"/>
              </w:rPr>
            </w:pPr>
            <w:r>
              <w:rPr>
                <w:rFonts w:hint="eastAsia" w:ascii="楷体_GB2312" w:hAnsi="Times New Roman" w:eastAsia="楷体_GB2312" w:cs="Times New Roman"/>
                <w:szCs w:val="21"/>
              </w:rPr>
              <w:t>是否开通分账</w:t>
            </w:r>
            <w:permStart w:id="95" w:edGrp="everyone"/>
            <w:r>
              <w:rPr>
                <w:rFonts w:hint="eastAsia" w:ascii="楷体" w:hAnsi="楷体" w:eastAsia="楷体"/>
                <w:szCs w:val="21"/>
              </w:rPr>
              <w:sym w:font="Wingdings" w:char="F0A8"/>
            </w:r>
            <w:permEnd w:id="95"/>
            <w:r>
              <w:rPr>
                <w:rFonts w:hint="eastAsia" w:ascii="楷体" w:hAnsi="楷体" w:eastAsia="楷体"/>
                <w:szCs w:val="21"/>
              </w:rPr>
              <w:t>是：</w:t>
            </w:r>
            <w:permStart w:id="96" w:edGrp="everyone"/>
            <w:r>
              <w:rPr>
                <w:rFonts w:ascii="楷体" w:hAnsi="楷体" w:eastAsia="楷体"/>
                <w:szCs w:val="21"/>
              </w:rPr>
              <w:t>每笔</w:t>
            </w:r>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元</w:t>
            </w:r>
            <w:permEnd w:id="96"/>
            <w:r>
              <w:rPr>
                <w:rFonts w:ascii="楷体" w:hAnsi="楷体" w:eastAsia="楷体"/>
                <w:szCs w:val="21"/>
              </w:rPr>
              <w:t xml:space="preserve"> </w:t>
            </w:r>
            <w:r>
              <w:rPr>
                <w:rFonts w:hint="eastAsia" w:ascii="楷体" w:hAnsi="楷体" w:eastAsia="楷体"/>
                <w:szCs w:val="21"/>
              </w:rPr>
              <w:t xml:space="preserve"> </w:t>
            </w:r>
            <w:permStart w:id="97" w:edGrp="everyone"/>
            <w:r>
              <w:rPr>
                <w:rFonts w:hint="eastAsia" w:ascii="楷体" w:hAnsi="楷体" w:eastAsia="楷体"/>
                <w:szCs w:val="21"/>
              </w:rPr>
              <w:sym w:font="Wingdings" w:char="F0A8"/>
            </w:r>
            <w:permEnd w:id="97"/>
            <w:r>
              <w:rPr>
                <w:rFonts w:hint="eastAsia" w:ascii="楷体" w:hAnsi="楷体" w:eastAsia="楷体"/>
                <w:szCs w:val="21"/>
              </w:rPr>
              <w:t>否</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412" w:hRule="atLeast"/>
        </w:trPr>
        <w:tc>
          <w:tcPr>
            <w:tcW w:w="198" w:type="pct"/>
            <w:vMerge w:val="continue"/>
            <w:vAlign w:val="center"/>
          </w:tcPr>
          <w:p>
            <w:pPr>
              <w:jc w:val="center"/>
              <w:rPr>
                <w:rFonts w:ascii="楷体" w:hAnsi="楷体" w:eastAsia="楷体"/>
                <w:szCs w:val="21"/>
              </w:rPr>
            </w:pPr>
          </w:p>
        </w:tc>
        <w:tc>
          <w:tcPr>
            <w:tcW w:w="954" w:type="pct"/>
            <w:gridSpan w:val="2"/>
            <w:vAlign w:val="center"/>
          </w:tcPr>
          <w:p>
            <w:pPr>
              <w:rPr>
                <w:rFonts w:ascii="楷体" w:hAnsi="楷体" w:eastAsia="楷体"/>
                <w:szCs w:val="21"/>
              </w:rPr>
            </w:pPr>
            <w:r>
              <w:rPr>
                <w:rFonts w:hint="eastAsia" w:ascii="楷体" w:hAnsi="楷体" w:eastAsia="楷体"/>
                <w:szCs w:val="21"/>
              </w:rPr>
              <w:t>附加功能选项</w:t>
            </w:r>
          </w:p>
        </w:tc>
        <w:tc>
          <w:tcPr>
            <w:tcW w:w="3847" w:type="pct"/>
            <w:gridSpan w:val="6"/>
            <w:vAlign w:val="center"/>
          </w:tcPr>
          <w:p>
            <w:pPr>
              <w:rPr>
                <w:rFonts w:ascii="楷体" w:hAnsi="楷体" w:eastAsia="楷体"/>
                <w:szCs w:val="21"/>
              </w:rPr>
            </w:pPr>
            <w:permStart w:id="98" w:edGrp="everyone"/>
            <w:r>
              <w:rPr>
                <w:rFonts w:hint="eastAsia" w:ascii="楷体" w:hAnsi="楷体" w:eastAsia="楷体"/>
                <w:szCs w:val="21"/>
              </w:rPr>
              <w:sym w:font="Wingdings" w:char="F0A8"/>
            </w:r>
            <w:permEnd w:id="98"/>
            <w:r>
              <w:rPr>
                <w:rFonts w:hint="eastAsia" w:ascii="楷体" w:hAnsi="楷体" w:eastAsia="楷体"/>
                <w:szCs w:val="21"/>
              </w:rPr>
              <w:t xml:space="preserve">开通专属账户  </w:t>
            </w:r>
            <w:permStart w:id="99" w:edGrp="everyone"/>
            <w:r>
              <w:rPr>
                <w:rFonts w:hint="eastAsia" w:ascii="楷体" w:hAnsi="楷体" w:eastAsia="楷体"/>
                <w:szCs w:val="21"/>
              </w:rPr>
              <w:sym w:font="Wingdings" w:char="F0A8"/>
            </w:r>
            <w:permEnd w:id="99"/>
            <w:r>
              <w:rPr>
                <w:rFonts w:hint="eastAsia" w:ascii="楷体" w:hAnsi="楷体" w:eastAsia="楷体"/>
                <w:szCs w:val="21"/>
              </w:rPr>
              <w:t>其他</w:t>
            </w:r>
            <w:permStart w:id="100" w:edGrp="everyone"/>
            <w:r>
              <w:rPr>
                <w:rFonts w:hint="eastAsia" w:ascii="楷体" w:hAnsi="楷体" w:eastAsia="楷体"/>
                <w:szCs w:val="21"/>
              </w:rPr>
              <w:t>______________</w:t>
            </w:r>
            <w:permEnd w:id="100"/>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403" w:hRule="atLeast"/>
        </w:trPr>
        <w:tc>
          <w:tcPr>
            <w:tcW w:w="198" w:type="pct"/>
            <w:vMerge w:val="continue"/>
          </w:tcPr>
          <w:p>
            <w:pPr>
              <w:rPr>
                <w:rFonts w:ascii="楷体" w:hAnsi="楷体" w:eastAsia="楷体"/>
                <w:szCs w:val="21"/>
              </w:rPr>
            </w:pPr>
          </w:p>
        </w:tc>
        <w:tc>
          <w:tcPr>
            <w:tcW w:w="954" w:type="pct"/>
            <w:gridSpan w:val="2"/>
            <w:vAlign w:val="center"/>
          </w:tcPr>
          <w:p>
            <w:pPr>
              <w:jc w:val="center"/>
              <w:rPr>
                <w:rFonts w:ascii="楷体" w:hAnsi="楷体" w:eastAsia="楷体"/>
                <w:color w:val="FF0000"/>
                <w:szCs w:val="21"/>
              </w:rPr>
            </w:pPr>
            <w:r>
              <w:rPr>
                <w:rFonts w:hint="eastAsia" w:ascii="楷体" w:hAnsi="楷体" w:eastAsia="楷体"/>
                <w:color w:val="000000"/>
                <w:szCs w:val="21"/>
              </w:rPr>
              <w:t>受理终端布放地址</w:t>
            </w:r>
          </w:p>
        </w:tc>
        <w:tc>
          <w:tcPr>
            <w:tcW w:w="3847" w:type="pct"/>
            <w:gridSpan w:val="6"/>
          </w:tcPr>
          <w:p>
            <w:pPr>
              <w:jc w:val="left"/>
              <w:rPr>
                <w:rFonts w:ascii="楷体" w:hAnsi="楷体" w:eastAsia="楷体"/>
                <w:color w:val="FF0000"/>
                <w:szCs w:val="21"/>
                <w:u w:val="single"/>
              </w:rPr>
            </w:pPr>
            <w:permStart w:id="101" w:edGrp="everyone"/>
            <w:r>
              <w:rPr>
                <w:rFonts w:hint="eastAsia" w:ascii="楷体" w:hAnsi="楷体" w:eastAsia="楷体"/>
                <w:szCs w:val="21"/>
                <w:u w:val="single"/>
              </w:rPr>
              <w:t xml:space="preserve">     </w:t>
            </w:r>
            <w:r>
              <w:rPr>
                <w:rFonts w:ascii="楷体" w:hAnsi="楷体" w:eastAsia="楷体"/>
                <w:szCs w:val="21"/>
                <w:u w:val="single"/>
              </w:rPr>
              <w:t xml:space="preserve">                                                   </w:t>
            </w:r>
            <w:permEnd w:id="101"/>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108" w:type="dxa"/>
            <w:bottom w:w="0" w:type="dxa"/>
            <w:right w:w="108" w:type="dxa"/>
          </w:tblCellMar>
        </w:tblPrEx>
        <w:trPr>
          <w:trHeight w:val="403" w:hRule="atLeast"/>
        </w:trPr>
        <w:tc>
          <w:tcPr>
            <w:tcW w:w="5000" w:type="pct"/>
            <w:gridSpan w:val="9"/>
          </w:tcPr>
          <w:p>
            <w:pPr>
              <w:jc w:val="left"/>
              <w:rPr>
                <w:rFonts w:ascii="楷体" w:hAnsi="楷体" w:eastAsia="楷体"/>
                <w:szCs w:val="21"/>
              </w:rPr>
            </w:pPr>
            <w:r>
              <w:rPr>
                <w:rFonts w:hint="eastAsia" w:ascii="楷体" w:hAnsi="楷体" w:eastAsia="楷体"/>
                <w:szCs w:val="21"/>
              </w:rPr>
              <w:t>备注：*条码支付银联大额交易指交易金额大于1</w:t>
            </w:r>
            <w:r>
              <w:rPr>
                <w:rFonts w:ascii="楷体" w:hAnsi="楷体" w:eastAsia="楷体"/>
                <w:szCs w:val="21"/>
              </w:rPr>
              <w:t>000</w:t>
            </w:r>
            <w:r>
              <w:rPr>
                <w:rFonts w:hint="eastAsia" w:ascii="楷体" w:hAnsi="楷体" w:eastAsia="楷体"/>
                <w:szCs w:val="21"/>
              </w:rPr>
              <w:t>元的交易，小额交易指交易金额小于等于1</w:t>
            </w:r>
            <w:r>
              <w:rPr>
                <w:rFonts w:ascii="楷体" w:hAnsi="楷体" w:eastAsia="楷体"/>
                <w:szCs w:val="21"/>
              </w:rPr>
              <w:t>000</w:t>
            </w:r>
            <w:r>
              <w:rPr>
                <w:rFonts w:hint="eastAsia" w:ascii="楷体" w:hAnsi="楷体" w:eastAsia="楷体"/>
                <w:szCs w:val="21"/>
              </w:rPr>
              <w:t>元的交易。</w:t>
            </w:r>
          </w:p>
          <w:p>
            <w:pPr>
              <w:jc w:val="left"/>
              <w:rPr>
                <w:rFonts w:ascii="楷体" w:hAnsi="楷体" w:eastAsia="楷体"/>
                <w:szCs w:val="21"/>
              </w:rPr>
            </w:pPr>
            <w:r>
              <w:rPr>
                <w:rFonts w:hint="eastAsia" w:ascii="楷体" w:hAnsi="楷体" w:eastAsia="楷体"/>
                <w:szCs w:val="21"/>
              </w:rPr>
              <w:t xml:space="preserve"> </w:t>
            </w:r>
            <w:r>
              <w:rPr>
                <w:rFonts w:ascii="楷体" w:hAnsi="楷体" w:eastAsia="楷体"/>
                <w:szCs w:val="21"/>
              </w:rPr>
              <w:t xml:space="preserve">     </w:t>
            </w:r>
            <w:r>
              <w:rPr>
                <w:rFonts w:hint="eastAsia" w:ascii="楷体" w:hAnsi="楷体" w:eastAsia="楷体"/>
                <w:szCs w:val="21"/>
              </w:rPr>
              <w:t>*甲方应理解是否开通分账及专属账户功能，应以乙方控台配置为准。</w:t>
            </w:r>
          </w:p>
          <w:p>
            <w:pPr>
              <w:ind w:firstLine="630" w:firstLineChars="300"/>
              <w:jc w:val="left"/>
              <w:rPr>
                <w:rFonts w:ascii="楷体" w:hAnsi="楷体" w:eastAsia="楷体"/>
                <w:szCs w:val="21"/>
              </w:rPr>
            </w:pPr>
            <w:r>
              <w:rPr>
                <w:rFonts w:hint="eastAsia" w:ascii="楷体" w:hAnsi="楷体" w:eastAsia="楷体"/>
                <w:szCs w:val="21"/>
              </w:rPr>
              <w:t>*</w:t>
            </w:r>
            <w:r>
              <w:rPr>
                <w:rFonts w:ascii="楷体" w:hAnsi="楷体" w:eastAsia="楷体"/>
                <w:szCs w:val="21"/>
              </w:rPr>
              <w:t>I</w:t>
            </w:r>
            <w:r>
              <w:rPr>
                <w:rFonts w:hint="eastAsia" w:ascii="楷体" w:hAnsi="楷体" w:eastAsia="楷体"/>
                <w:szCs w:val="21"/>
              </w:rPr>
              <w:t>/II/III类银行分类具体以《银行分类表》为准。</w:t>
            </w:r>
          </w:p>
        </w:tc>
      </w:tr>
    </w:tbl>
    <w:p>
      <w:pPr>
        <w:pStyle w:val="12"/>
        <w:numPr>
          <w:ilvl w:val="0"/>
          <w:numId w:val="1"/>
        </w:numPr>
        <w:ind w:firstLineChars="0"/>
        <w:rPr>
          <w:rFonts w:ascii="楷体" w:hAnsi="楷体" w:eastAsia="楷体"/>
          <w:szCs w:val="21"/>
        </w:rPr>
      </w:pPr>
      <w:r>
        <w:rPr>
          <w:rFonts w:ascii="楷体" w:hAnsi="楷体" w:eastAsia="楷体"/>
          <w:szCs w:val="21"/>
        </w:rPr>
        <w:t>乙方有权根据法律法规</w:t>
      </w:r>
      <w:r>
        <w:rPr>
          <w:rFonts w:hint="eastAsia" w:ascii="楷体" w:hAnsi="楷体" w:eastAsia="楷体"/>
          <w:szCs w:val="21"/>
        </w:rPr>
        <w:t>、银联/支付宝/微信政策或业务发展需求变更</w:t>
      </w:r>
      <w:r>
        <w:rPr>
          <w:rFonts w:ascii="楷体" w:hAnsi="楷体" w:eastAsia="楷体"/>
          <w:szCs w:val="21"/>
        </w:rPr>
        <w:t>上述手续费率</w:t>
      </w:r>
      <w:r>
        <w:rPr>
          <w:rFonts w:hint="eastAsia" w:ascii="楷体" w:hAnsi="楷体" w:eastAsia="楷体"/>
          <w:szCs w:val="21"/>
        </w:rPr>
        <w:t>，</w:t>
      </w:r>
      <w:r>
        <w:rPr>
          <w:rFonts w:ascii="楷体" w:hAnsi="楷体" w:eastAsia="楷体"/>
          <w:szCs w:val="21"/>
        </w:rPr>
        <w:t>但应通过首页地址或电子邮箱提前</w:t>
      </w:r>
      <w:r>
        <w:rPr>
          <w:rFonts w:hint="eastAsia" w:ascii="楷体" w:hAnsi="楷体" w:eastAsia="楷体"/>
          <w:szCs w:val="21"/>
        </w:rPr>
        <w:t>1</w:t>
      </w:r>
      <w:r>
        <w:rPr>
          <w:rFonts w:ascii="楷体" w:hAnsi="楷体" w:eastAsia="楷体"/>
          <w:szCs w:val="21"/>
        </w:rPr>
        <w:t>5日通知甲方</w:t>
      </w:r>
      <w:r>
        <w:rPr>
          <w:rFonts w:hint="eastAsia" w:ascii="楷体" w:hAnsi="楷体" w:eastAsia="楷体"/>
          <w:szCs w:val="21"/>
        </w:rPr>
        <w:t>。自乙方发出通知后5日内，若甲方未提出异议，则视为甲方同意变更手续费率。</w:t>
      </w:r>
      <w:r>
        <w:rPr>
          <w:rFonts w:ascii="楷体" w:hAnsi="楷体" w:eastAsia="楷体"/>
          <w:szCs w:val="21"/>
        </w:rPr>
        <w:t>若甲方不同意变更手续费率</w:t>
      </w:r>
      <w:r>
        <w:rPr>
          <w:rFonts w:hint="eastAsia" w:ascii="楷体" w:hAnsi="楷体" w:eastAsia="楷体"/>
          <w:szCs w:val="21"/>
        </w:rPr>
        <w:t>，则乙方有权单方终止本协议。</w:t>
      </w:r>
    </w:p>
    <w:p>
      <w:pPr>
        <w:pStyle w:val="12"/>
        <w:numPr>
          <w:ilvl w:val="0"/>
          <w:numId w:val="1"/>
        </w:numPr>
        <w:ind w:firstLineChars="0"/>
        <w:rPr>
          <w:rFonts w:ascii="楷体" w:hAnsi="楷体" w:eastAsia="楷体"/>
          <w:szCs w:val="21"/>
        </w:rPr>
      </w:pPr>
      <w:r>
        <w:rPr>
          <w:rFonts w:hint="eastAsia" w:ascii="楷体" w:hAnsi="楷体" w:eastAsia="楷体"/>
          <w:szCs w:val="21"/>
        </w:rPr>
        <w:t>本协议自甲乙双方盖章之日起生效，有效期至</w:t>
      </w:r>
      <w:permStart w:id="102" w:edGrp="everyone"/>
      <w:r>
        <w:rPr>
          <w:rFonts w:ascii="楷体" w:hAnsi="楷体" w:eastAsia="楷体"/>
          <w:szCs w:val="21"/>
        </w:rPr>
        <w:t>2022</w:t>
      </w:r>
      <w:permEnd w:id="102"/>
      <w:r>
        <w:rPr>
          <w:rFonts w:hint="eastAsia" w:ascii="楷体" w:hAnsi="楷体" w:eastAsia="楷体"/>
          <w:szCs w:val="21"/>
        </w:rPr>
        <w:t>年1</w:t>
      </w:r>
      <w:r>
        <w:rPr>
          <w:rFonts w:ascii="楷体" w:hAnsi="楷体" w:eastAsia="楷体"/>
          <w:szCs w:val="21"/>
        </w:rPr>
        <w:t>2</w:t>
      </w:r>
      <w:r>
        <w:rPr>
          <w:rFonts w:hint="eastAsia" w:ascii="楷体" w:hAnsi="楷体" w:eastAsia="楷体"/>
          <w:szCs w:val="21"/>
        </w:rPr>
        <w:t>月3</w:t>
      </w:r>
      <w:r>
        <w:rPr>
          <w:rFonts w:ascii="楷体" w:hAnsi="楷体" w:eastAsia="楷体"/>
          <w:szCs w:val="21"/>
        </w:rPr>
        <w:t>1</w:t>
      </w:r>
      <w:r>
        <w:rPr>
          <w:rFonts w:hint="eastAsia" w:ascii="楷体" w:hAnsi="楷体" w:eastAsia="楷体"/>
          <w:szCs w:val="21"/>
        </w:rPr>
        <w:t>日。</w:t>
      </w:r>
    </w:p>
    <w:p>
      <w:pPr>
        <w:pStyle w:val="12"/>
        <w:numPr>
          <w:ilvl w:val="0"/>
          <w:numId w:val="1"/>
        </w:numPr>
        <w:ind w:firstLineChars="0"/>
        <w:rPr>
          <w:rFonts w:ascii="楷体" w:hAnsi="楷体" w:eastAsia="楷体"/>
          <w:szCs w:val="21"/>
        </w:rPr>
      </w:pPr>
      <w:r>
        <w:rPr>
          <w:rFonts w:hint="eastAsia" w:ascii="楷体" w:hAnsi="楷体" w:eastAsia="楷体"/>
          <w:szCs w:val="21"/>
        </w:rPr>
        <w:t>截至本协议有效期届满30天前，如甲乙双方中任何一方均未以书面形式向对方提出终止本协议或发出不自动续约通知的，则本协议有效期届满日的次日起自动延续壹年，仅限延续壹次。</w:t>
      </w:r>
    </w:p>
    <w:p>
      <w:pPr>
        <w:rPr>
          <w:rFonts w:ascii="楷体" w:hAnsi="楷体" w:eastAsia="楷体"/>
          <w:szCs w:val="21"/>
        </w:rPr>
      </w:pPr>
    </w:p>
    <w:p>
      <w:pPr>
        <w:rPr>
          <w:rFonts w:ascii="楷体" w:hAnsi="楷体" w:eastAsia="楷体"/>
          <w:b/>
          <w:szCs w:val="21"/>
        </w:rPr>
      </w:pPr>
      <w:r>
        <w:rPr>
          <w:rFonts w:hint="eastAsia" w:ascii="楷体" w:hAnsi="楷体" w:eastAsia="楷体"/>
          <w:b/>
          <w:szCs w:val="21"/>
        </w:rPr>
        <w:t xml:space="preserve">甲方（盖章）：                             </w:t>
      </w:r>
      <w:r>
        <w:rPr>
          <w:rFonts w:ascii="楷体" w:hAnsi="楷体" w:eastAsia="楷体"/>
          <w:b/>
          <w:szCs w:val="21"/>
        </w:rPr>
        <w:t xml:space="preserve">              </w:t>
      </w:r>
      <w:r>
        <w:rPr>
          <w:rFonts w:hint="eastAsia" w:ascii="楷体" w:hAnsi="楷体" w:eastAsia="楷体"/>
          <w:b/>
          <w:szCs w:val="21"/>
        </w:rPr>
        <w:t>乙方（盖章）：上海汇付数据服务有限公司</w:t>
      </w:r>
    </w:p>
    <w:p>
      <w:pPr>
        <w:rPr>
          <w:rFonts w:ascii="楷体" w:hAnsi="楷体" w:eastAsia="楷体"/>
          <w:szCs w:val="21"/>
        </w:rPr>
      </w:pPr>
      <w:r>
        <w:rPr>
          <w:rFonts w:hint="eastAsia" w:ascii="楷体" w:hAnsi="楷体" w:eastAsia="楷体"/>
          <w:szCs w:val="21"/>
        </w:rPr>
        <w:t>法定代表人(或授权代表人)签字：</w:t>
      </w:r>
      <w:r>
        <w:rPr>
          <w:rFonts w:hint="eastAsia" w:ascii="楷体" w:hAnsi="楷体" w:eastAsia="楷体"/>
          <w:szCs w:val="21"/>
          <w:u w:val="single"/>
        </w:rPr>
        <w:t xml:space="preserve">          </w:t>
      </w:r>
      <w:r>
        <w:rPr>
          <w:rFonts w:ascii="楷体" w:hAnsi="楷体" w:eastAsia="楷体"/>
          <w:szCs w:val="21"/>
          <w:u w:val="single"/>
        </w:rPr>
        <w:t xml:space="preserve">      </w:t>
      </w:r>
      <w:r>
        <w:rPr>
          <w:rFonts w:ascii="楷体" w:hAnsi="楷体" w:eastAsia="楷体"/>
          <w:szCs w:val="21"/>
        </w:rPr>
        <w:t xml:space="preserve">          </w:t>
      </w:r>
      <w:r>
        <w:rPr>
          <w:rFonts w:hint="eastAsia" w:ascii="楷体" w:hAnsi="楷体" w:eastAsia="楷体"/>
          <w:szCs w:val="21"/>
        </w:rPr>
        <w:t>法定代表人(或授权代表人)签字：</w:t>
      </w:r>
      <w:r>
        <w:rPr>
          <w:rFonts w:hint="eastAsia" w:ascii="楷体" w:hAnsi="楷体" w:eastAsia="楷体"/>
          <w:szCs w:val="21"/>
          <w:u w:val="single"/>
        </w:rPr>
        <w:t xml:space="preserve"> </w:t>
      </w:r>
      <w:r>
        <w:rPr>
          <w:rFonts w:ascii="楷体" w:hAnsi="楷体" w:eastAsia="楷体"/>
          <w:szCs w:val="21"/>
          <w:u w:val="single"/>
        </w:rPr>
        <w:t xml:space="preserve">              </w:t>
      </w:r>
    </w:p>
    <w:p>
      <w:pPr>
        <w:jc w:val="right"/>
        <w:rPr>
          <w:rFonts w:ascii="楷体" w:hAnsi="楷体" w:eastAsia="楷体"/>
          <w:szCs w:val="21"/>
        </w:rPr>
      </w:pPr>
    </w:p>
    <w:p>
      <w:pPr>
        <w:jc w:val="right"/>
        <w:rPr>
          <w:rFonts w:ascii="楷体" w:hAnsi="楷体" w:eastAsia="楷体"/>
          <w:szCs w:val="21"/>
        </w:rPr>
      </w:pPr>
      <w:r>
        <w:rPr>
          <w:rFonts w:hint="eastAsia" w:ascii="楷体" w:hAnsi="楷体" w:eastAsia="楷体"/>
          <w:szCs w:val="21"/>
        </w:rPr>
        <w:t>签署日期：</w:t>
      </w:r>
      <w:permStart w:id="103" w:edGrp="everyone"/>
      <w:r>
        <w:rPr>
          <w:rFonts w:hint="eastAsia" w:ascii="楷体" w:hAnsi="楷体" w:eastAsia="楷体"/>
          <w:szCs w:val="21"/>
        </w:rPr>
        <w:t xml:space="preserve">     </w:t>
      </w:r>
      <w:permEnd w:id="103"/>
      <w:r>
        <w:rPr>
          <w:rFonts w:hint="eastAsia" w:ascii="楷体" w:hAnsi="楷体" w:eastAsia="楷体"/>
          <w:szCs w:val="21"/>
        </w:rPr>
        <w:t>年</w:t>
      </w:r>
      <w:permStart w:id="104" w:edGrp="everyone"/>
      <w:r>
        <w:rPr>
          <w:rFonts w:hint="eastAsia" w:ascii="楷体" w:hAnsi="楷体" w:eastAsia="楷体"/>
          <w:szCs w:val="21"/>
        </w:rPr>
        <w:t xml:space="preserve">    </w:t>
      </w:r>
      <w:permEnd w:id="104"/>
      <w:r>
        <w:rPr>
          <w:rFonts w:hint="eastAsia" w:ascii="楷体" w:hAnsi="楷体" w:eastAsia="楷体"/>
          <w:szCs w:val="21"/>
        </w:rPr>
        <w:t>月</w:t>
      </w:r>
      <w:permStart w:id="105" w:edGrp="everyone"/>
      <w:r>
        <w:rPr>
          <w:rFonts w:hint="eastAsia" w:ascii="楷体" w:hAnsi="楷体" w:eastAsia="楷体"/>
          <w:szCs w:val="21"/>
        </w:rPr>
        <w:t xml:space="preserve">   </w:t>
      </w:r>
      <w:permEnd w:id="105"/>
      <w:r>
        <w:rPr>
          <w:rFonts w:hint="eastAsia" w:ascii="楷体" w:hAnsi="楷体" w:eastAsia="楷体"/>
          <w:szCs w:val="21"/>
        </w:rPr>
        <w:t>日</w:t>
      </w:r>
    </w:p>
    <w:p>
      <w:pPr>
        <w:ind w:right="840"/>
        <w:rPr>
          <w:rFonts w:ascii="楷体" w:hAnsi="楷体" w:eastAsia="楷体"/>
          <w:szCs w:val="21"/>
        </w:rPr>
      </w:pPr>
      <w:r>
        <w:rPr>
          <w:rFonts w:ascii="楷体" w:hAnsi="楷体" w:eastAsia="楷体"/>
          <w:szCs w:val="21"/>
        </w:rPr>
        <w:br w:type="page"/>
      </w:r>
    </w:p>
    <w:p>
      <w:pPr>
        <w:jc w:val="center"/>
        <w:rPr>
          <w:rFonts w:ascii="楷体" w:hAnsi="楷体" w:eastAsia="楷体" w:cs="Times New Roman"/>
          <w:b/>
          <w:sz w:val="32"/>
          <w:szCs w:val="32"/>
        </w:rPr>
      </w:pPr>
      <w:r>
        <w:rPr>
          <w:rFonts w:hint="eastAsia" w:ascii="楷体" w:hAnsi="楷体" w:eastAsia="楷体" w:cs="Times New Roman"/>
          <w:b/>
          <w:sz w:val="32"/>
          <w:szCs w:val="32"/>
        </w:rPr>
        <w:t>银行分类表</w:t>
      </w:r>
    </w:p>
    <w:tbl>
      <w:tblPr>
        <w:tblStyle w:val="8"/>
        <w:tblW w:w="8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287"/>
        <w:gridCol w:w="5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shd w:val="clear" w:color="auto" w:fill="D8D8D8" w:themeFill="background1" w:themeFillShade="D9"/>
            <w:noWrap/>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交易类型</w:t>
            </w:r>
          </w:p>
        </w:tc>
        <w:tc>
          <w:tcPr>
            <w:tcW w:w="3685" w:type="dxa"/>
            <w:shd w:val="clear" w:color="auto" w:fill="D8D8D8" w:themeFill="background1" w:themeFillShade="D9"/>
            <w:vAlign w:val="center"/>
          </w:tcPr>
          <w:p>
            <w:pPr>
              <w:snapToGrid w:val="0"/>
              <w:jc w:val="center"/>
              <w:rPr>
                <w:rFonts w:ascii="楷体" w:hAnsi="楷体" w:eastAsia="楷体"/>
                <w:b/>
                <w:bCs/>
                <w:color w:val="000000"/>
                <w:sz w:val="24"/>
                <w:szCs w:val="24"/>
              </w:rPr>
            </w:pPr>
            <w:r>
              <w:rPr>
                <w:rFonts w:ascii="楷体" w:hAnsi="楷体" w:eastAsia="楷体"/>
                <w:b/>
                <w:bCs/>
                <w:color w:val="000000"/>
                <w:sz w:val="24"/>
                <w:szCs w:val="24"/>
              </w:rPr>
              <w:t>对应银行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sz w:val="24"/>
                <w:szCs w:val="24"/>
              </w:rPr>
              <w:t>个人网银</w:t>
            </w:r>
          </w:p>
          <w:p>
            <w:pPr>
              <w:jc w:val="center"/>
              <w:rPr>
                <w:rFonts w:ascii="楷体" w:hAnsi="楷体" w:eastAsia="楷体"/>
                <w:color w:val="000000"/>
                <w:sz w:val="24"/>
                <w:szCs w:val="24"/>
              </w:rPr>
            </w:pPr>
            <w:r>
              <w:rPr>
                <w:rFonts w:hint="eastAsia" w:ascii="楷体" w:hAnsi="楷体" w:eastAsia="楷体"/>
                <w:color w:val="000000"/>
                <w:sz w:val="24"/>
                <w:szCs w:val="24"/>
              </w:rPr>
              <w:t>（B2C网关贷记卡）</w:t>
            </w: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w:t>
            </w:r>
            <w:r>
              <w:rPr>
                <w:rFonts w:hint="eastAsia" w:ascii="楷体" w:hAnsi="楷体" w:eastAsia="楷体"/>
                <w:color w:val="000000"/>
                <w:sz w:val="24"/>
                <w:szCs w:val="24"/>
              </w:rPr>
              <w:t>类银行：</w:t>
            </w:r>
          </w:p>
          <w:p>
            <w:pPr>
              <w:jc w:val="left"/>
              <w:rPr>
                <w:rFonts w:ascii="楷体" w:hAnsi="楷体" w:eastAsia="楷体"/>
                <w:color w:val="000000"/>
                <w:sz w:val="24"/>
                <w:szCs w:val="24"/>
              </w:rPr>
            </w:pPr>
            <w:r>
              <w:rPr>
                <w:rFonts w:hint="eastAsia" w:ascii="楷体" w:hAnsi="楷体" w:eastAsia="楷体"/>
                <w:color w:val="000000"/>
                <w:sz w:val="24"/>
                <w:szCs w:val="24"/>
              </w:rPr>
              <w:t>南京银行、工商银行、中国银行、兰州银行、招商银行、上海银行、渤海银行、上海农村商业银行、浦发银行、邮储银行、交通银行、建设银行、杭州银行、农业银行、光大银行、民生银行、广发银行、中信银行、华夏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r>
              <w:rPr>
                <w:rFonts w:ascii="楷体" w:hAnsi="楷体" w:eastAsia="楷体"/>
                <w:color w:val="000000"/>
                <w:sz w:val="24"/>
                <w:szCs w:val="24"/>
              </w:rPr>
              <w:t>平安银行</w:t>
            </w:r>
            <w:r>
              <w:rPr>
                <w:rFonts w:hint="eastAsia" w:ascii="楷体" w:hAnsi="楷体" w:eastAsia="楷体"/>
                <w:color w:val="000000"/>
                <w:sz w:val="24"/>
                <w:szCs w:val="24"/>
              </w:rPr>
              <w:t>、</w:t>
            </w:r>
            <w:r>
              <w:rPr>
                <w:rFonts w:ascii="楷体" w:hAnsi="楷体" w:eastAsia="楷体"/>
                <w:color w:val="000000"/>
                <w:sz w:val="24"/>
                <w:szCs w:val="24"/>
              </w:rPr>
              <w:t>兴业银行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sz w:val="24"/>
                <w:szCs w:val="24"/>
              </w:rPr>
              <w:t>个人网银</w:t>
            </w:r>
          </w:p>
          <w:p>
            <w:pPr>
              <w:jc w:val="center"/>
              <w:rPr>
                <w:rFonts w:ascii="楷体" w:hAnsi="楷体" w:eastAsia="楷体"/>
                <w:color w:val="000000"/>
                <w:sz w:val="24"/>
                <w:szCs w:val="24"/>
              </w:rPr>
            </w:pPr>
            <w:r>
              <w:rPr>
                <w:rFonts w:hint="eastAsia" w:ascii="楷体" w:hAnsi="楷体" w:eastAsia="楷体"/>
                <w:color w:val="000000"/>
                <w:sz w:val="24"/>
                <w:szCs w:val="24"/>
              </w:rPr>
              <w:t>（B2C网关借记卡）</w:t>
            </w: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I类银行：</w:t>
            </w:r>
          </w:p>
          <w:p>
            <w:pPr>
              <w:jc w:val="left"/>
              <w:rPr>
                <w:rFonts w:ascii="楷体" w:hAnsi="楷体" w:eastAsia="楷体"/>
                <w:color w:val="000000"/>
                <w:sz w:val="24"/>
                <w:szCs w:val="24"/>
              </w:rPr>
            </w:pPr>
            <w:r>
              <w:rPr>
                <w:rFonts w:hint="eastAsia" w:ascii="楷体" w:hAnsi="楷体" w:eastAsia="楷体"/>
                <w:color w:val="000000"/>
                <w:sz w:val="24"/>
                <w:szCs w:val="24"/>
              </w:rPr>
              <w:t>南京银行、工商银行、民生银行、中国银行、农业银行、光大银行、广发银行、中信银行、华夏银行、建设银行、邮储银行、兰州银行、平安银行、上海银行、招商银行、兴业银行、渤海银行、浙商银行、上海农村商业银行、交通银行、杭州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r>
              <w:rPr>
                <w:rFonts w:ascii="楷体" w:hAnsi="楷体" w:eastAsia="楷体"/>
                <w:color w:val="000000"/>
                <w:sz w:val="24"/>
                <w:szCs w:val="24"/>
              </w:rPr>
              <w:t>浦发银行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III类银行：</w:t>
            </w:r>
            <w:r>
              <w:rPr>
                <w:rFonts w:ascii="楷体" w:hAnsi="楷体" w:eastAsia="楷体"/>
                <w:color w:val="000000"/>
                <w:sz w:val="24"/>
                <w:szCs w:val="24"/>
              </w:rPr>
              <w:t>北京银行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color w:val="000000"/>
                <w:sz w:val="24"/>
                <w:szCs w:val="24"/>
              </w:rPr>
              <w:t>协议支付（贷记卡）</w:t>
            </w: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I类银行</w:t>
            </w:r>
            <w:r>
              <w:rPr>
                <w:rFonts w:hint="eastAsia" w:ascii="楷体" w:hAnsi="楷体" w:eastAsia="楷体"/>
                <w:color w:val="000000"/>
                <w:sz w:val="24"/>
                <w:szCs w:val="24"/>
              </w:rPr>
              <w:t>：</w:t>
            </w:r>
          </w:p>
          <w:p>
            <w:pPr>
              <w:jc w:val="left"/>
              <w:rPr>
                <w:rFonts w:ascii="楷体" w:hAnsi="楷体" w:eastAsia="楷体"/>
                <w:color w:val="000000"/>
                <w:sz w:val="24"/>
                <w:szCs w:val="24"/>
              </w:rPr>
            </w:pPr>
            <w:r>
              <w:rPr>
                <w:rFonts w:hint="eastAsia" w:ascii="楷体" w:hAnsi="楷体" w:eastAsia="楷体"/>
                <w:color w:val="000000"/>
                <w:sz w:val="24"/>
                <w:szCs w:val="24"/>
              </w:rPr>
              <w:t>附件二贷记卡区域性银行、北京银行、中国银行、上海银行、光大银行、农业银行、建设银行、工商银行、广发银行、民生银行、中信银行、华夏银行、平安银行、浦发银行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p>
          <w:p>
            <w:pPr>
              <w:jc w:val="center"/>
              <w:rPr>
                <w:rFonts w:ascii="楷体" w:hAnsi="楷体" w:eastAsia="楷体"/>
                <w:color w:val="000000"/>
                <w:sz w:val="24"/>
                <w:szCs w:val="24"/>
              </w:rPr>
            </w:pPr>
            <w:r>
              <w:rPr>
                <w:rFonts w:hint="eastAsia" w:ascii="楷体" w:hAnsi="楷体" w:eastAsia="楷体"/>
                <w:color w:val="000000"/>
                <w:sz w:val="24"/>
                <w:szCs w:val="24"/>
              </w:rPr>
              <w:t>交通银行、邮储银行、招商银行、兴业银行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restart"/>
            <w:noWrap/>
            <w:tcMar>
              <w:top w:w="0" w:type="dxa"/>
              <w:left w:w="108" w:type="dxa"/>
              <w:bottom w:w="0" w:type="dxa"/>
              <w:right w:w="108" w:type="dxa"/>
            </w:tcMar>
            <w:vAlign w:val="center"/>
          </w:tcPr>
          <w:p>
            <w:pPr>
              <w:jc w:val="center"/>
              <w:rPr>
                <w:rFonts w:ascii="楷体" w:hAnsi="楷体" w:eastAsia="楷体"/>
                <w:color w:val="000000"/>
                <w:sz w:val="24"/>
                <w:szCs w:val="24"/>
              </w:rPr>
            </w:pPr>
            <w:r>
              <w:rPr>
                <w:rFonts w:hint="eastAsia" w:ascii="楷体" w:hAnsi="楷体" w:eastAsia="楷体"/>
                <w:color w:val="000000"/>
                <w:sz w:val="24"/>
                <w:szCs w:val="24"/>
              </w:rPr>
              <w:t>协议支付（借记卡）</w:t>
            </w: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w:t>
            </w:r>
            <w:r>
              <w:rPr>
                <w:rFonts w:hint="eastAsia" w:ascii="楷体" w:hAnsi="楷体" w:eastAsia="楷体"/>
                <w:color w:val="000000"/>
                <w:sz w:val="24"/>
                <w:szCs w:val="24"/>
              </w:rPr>
              <w:t>类银行：</w:t>
            </w:r>
          </w:p>
          <w:p>
            <w:pPr>
              <w:jc w:val="left"/>
              <w:rPr>
                <w:rFonts w:ascii="楷体" w:hAnsi="楷体" w:eastAsia="楷体"/>
                <w:color w:val="000000"/>
                <w:sz w:val="24"/>
                <w:szCs w:val="24"/>
              </w:rPr>
            </w:pPr>
            <w:r>
              <w:rPr>
                <w:rFonts w:hint="eastAsia" w:ascii="楷体" w:hAnsi="楷体" w:eastAsia="楷体"/>
                <w:color w:val="000000"/>
                <w:sz w:val="24"/>
                <w:szCs w:val="24"/>
              </w:rPr>
              <w:t>附件二借记卡区域性银行、华夏银行、广发银行、平安银行、中国银行、渤海银行、工商银行、农业银行、民生银行、中信银行、上海银行、浦发银行、北京银行、兴业银行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hint="eastAsia" w:ascii="楷体" w:hAnsi="楷体" w:eastAsia="楷体"/>
                <w:color w:val="000000"/>
                <w:sz w:val="24"/>
                <w:szCs w:val="24"/>
              </w:rPr>
              <w:t>II类银行：</w:t>
            </w:r>
          </w:p>
          <w:p>
            <w:pPr>
              <w:jc w:val="center"/>
              <w:rPr>
                <w:rFonts w:ascii="楷体" w:hAnsi="楷体" w:eastAsia="楷体"/>
                <w:color w:val="000000"/>
                <w:sz w:val="24"/>
                <w:szCs w:val="24"/>
              </w:rPr>
            </w:pPr>
            <w:r>
              <w:rPr>
                <w:rFonts w:ascii="楷体" w:hAnsi="楷体" w:eastAsia="楷体"/>
                <w:color w:val="000000"/>
                <w:sz w:val="24"/>
                <w:szCs w:val="24"/>
              </w:rPr>
              <w:t>建设银行</w:t>
            </w:r>
            <w:r>
              <w:rPr>
                <w:rFonts w:hint="eastAsia" w:ascii="楷体" w:hAnsi="楷体" w:eastAsia="楷体"/>
                <w:color w:val="000000"/>
                <w:sz w:val="24"/>
                <w:szCs w:val="24"/>
              </w:rPr>
              <w:t>、</w:t>
            </w:r>
            <w:r>
              <w:rPr>
                <w:rFonts w:ascii="楷体" w:hAnsi="楷体" w:eastAsia="楷体"/>
                <w:color w:val="000000"/>
                <w:sz w:val="24"/>
                <w:szCs w:val="24"/>
              </w:rPr>
              <w:t>交通银行</w:t>
            </w:r>
            <w:r>
              <w:rPr>
                <w:rFonts w:hint="eastAsia" w:ascii="楷体" w:hAnsi="楷体" w:eastAsia="楷体"/>
                <w:color w:val="000000"/>
                <w:sz w:val="24"/>
                <w:szCs w:val="24"/>
              </w:rPr>
              <w:t>、光大银行、招商银行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2407" w:type="dxa"/>
            <w:vMerge w:val="continue"/>
            <w:noWrap/>
            <w:tcMar>
              <w:top w:w="0" w:type="dxa"/>
              <w:left w:w="108" w:type="dxa"/>
              <w:bottom w:w="0" w:type="dxa"/>
              <w:right w:w="108" w:type="dxa"/>
            </w:tcMar>
            <w:vAlign w:val="center"/>
          </w:tcPr>
          <w:p>
            <w:pPr>
              <w:jc w:val="center"/>
              <w:rPr>
                <w:rFonts w:ascii="楷体" w:hAnsi="楷体" w:eastAsia="楷体"/>
                <w:color w:val="000000"/>
                <w:sz w:val="24"/>
                <w:szCs w:val="24"/>
              </w:rPr>
            </w:pPr>
          </w:p>
        </w:tc>
        <w:tc>
          <w:tcPr>
            <w:tcW w:w="3685" w:type="dxa"/>
            <w:vAlign w:val="center"/>
          </w:tcPr>
          <w:p>
            <w:pPr>
              <w:jc w:val="center"/>
              <w:rPr>
                <w:rFonts w:ascii="楷体" w:hAnsi="楷体" w:eastAsia="楷体"/>
                <w:color w:val="000000"/>
                <w:sz w:val="24"/>
                <w:szCs w:val="24"/>
              </w:rPr>
            </w:pPr>
            <w:r>
              <w:rPr>
                <w:rFonts w:ascii="楷体" w:hAnsi="楷体" w:eastAsia="楷体"/>
                <w:color w:val="000000"/>
                <w:sz w:val="24"/>
                <w:szCs w:val="24"/>
              </w:rPr>
              <w:t>III类银行</w:t>
            </w:r>
            <w:r>
              <w:rPr>
                <w:rFonts w:hint="eastAsia" w:ascii="楷体" w:hAnsi="楷体" w:eastAsia="楷体"/>
                <w:color w:val="000000"/>
                <w:sz w:val="24"/>
                <w:szCs w:val="24"/>
              </w:rPr>
              <w:t>：</w:t>
            </w:r>
            <w:r>
              <w:rPr>
                <w:rFonts w:ascii="楷体" w:hAnsi="楷体" w:eastAsia="楷体"/>
                <w:color w:val="000000"/>
                <w:sz w:val="24"/>
                <w:szCs w:val="24"/>
              </w:rPr>
              <w:t>邮储银行</w:t>
            </w:r>
          </w:p>
        </w:tc>
      </w:tr>
    </w:tbl>
    <w:p>
      <w:pPr>
        <w:jc w:val="left"/>
        <w:rPr>
          <w:rFonts w:ascii="楷体" w:hAnsi="楷体" w:eastAsia="楷体"/>
          <w:b/>
          <w:color w:val="000000"/>
          <w:sz w:val="24"/>
          <w:szCs w:val="24"/>
        </w:rPr>
      </w:pPr>
      <w:r>
        <w:rPr>
          <w:rFonts w:ascii="楷体" w:hAnsi="楷体" w:eastAsia="楷体"/>
          <w:b/>
          <w:color w:val="000000"/>
          <w:sz w:val="24"/>
          <w:szCs w:val="24"/>
        </w:rPr>
        <w:br w:type="page"/>
      </w:r>
    </w:p>
    <w:p>
      <w:pPr>
        <w:jc w:val="left"/>
        <w:rPr>
          <w:rFonts w:ascii="楷体" w:hAnsi="楷体" w:eastAsia="楷体"/>
          <w:b/>
          <w:color w:val="000000"/>
          <w:sz w:val="24"/>
          <w:szCs w:val="24"/>
        </w:rPr>
      </w:pPr>
    </w:p>
    <w:tbl>
      <w:tblPr>
        <w:tblStyle w:val="8"/>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57"/>
        <w:gridCol w:w="2268"/>
        <w:gridCol w:w="284"/>
        <w:gridCol w:w="567"/>
        <w:gridCol w:w="2268"/>
        <w:gridCol w:w="425"/>
        <w:gridCol w:w="1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序号</w:t>
            </w:r>
          </w:p>
        </w:tc>
        <w:tc>
          <w:tcPr>
            <w:tcW w:w="2268"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借记卡</w:t>
            </w:r>
          </w:p>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区域性银行</w:t>
            </w:r>
          </w:p>
        </w:tc>
        <w:tc>
          <w:tcPr>
            <w:tcW w:w="284" w:type="dxa"/>
            <w:tcBorders>
              <w:top w:val="nil"/>
              <w:bottom w:val="nil"/>
            </w:tcBorders>
            <w:tcMar>
              <w:top w:w="0" w:type="dxa"/>
              <w:left w:w="108" w:type="dxa"/>
              <w:bottom w:w="0" w:type="dxa"/>
              <w:right w:w="108" w:type="dxa"/>
            </w:tcMar>
          </w:tcPr>
          <w:p>
            <w:pPr>
              <w:snapToGrid w:val="0"/>
              <w:jc w:val="center"/>
              <w:rPr>
                <w:rFonts w:ascii="楷体" w:hAnsi="楷体" w:eastAsia="楷体"/>
                <w:b/>
                <w:bCs/>
                <w:color w:val="000000"/>
                <w:sz w:val="24"/>
                <w:szCs w:val="24"/>
              </w:rPr>
            </w:pPr>
          </w:p>
        </w:tc>
        <w:tc>
          <w:tcPr>
            <w:tcW w:w="567"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序号</w:t>
            </w:r>
          </w:p>
        </w:tc>
        <w:tc>
          <w:tcPr>
            <w:tcW w:w="2268" w:type="dxa"/>
            <w:shd w:val="clear" w:color="auto" w:fill="D8D8D8" w:themeFill="background1" w:themeFillShade="D9"/>
            <w:tcMar>
              <w:top w:w="0" w:type="dxa"/>
              <w:left w:w="108" w:type="dxa"/>
              <w:bottom w:w="0" w:type="dxa"/>
              <w:right w:w="108" w:type="dxa"/>
            </w:tcMar>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贷记卡</w:t>
            </w:r>
          </w:p>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区域性银行</w:t>
            </w:r>
          </w:p>
        </w:tc>
        <w:tc>
          <w:tcPr>
            <w:tcW w:w="425" w:type="dxa"/>
            <w:shd w:val="clear" w:color="auto" w:fill="D8D8D8" w:themeFill="background1" w:themeFillShade="D9"/>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序号</w:t>
            </w:r>
          </w:p>
        </w:tc>
        <w:tc>
          <w:tcPr>
            <w:tcW w:w="1917" w:type="dxa"/>
            <w:shd w:val="clear" w:color="auto" w:fill="D8D8D8" w:themeFill="background1" w:themeFillShade="D9"/>
            <w:vAlign w:val="center"/>
          </w:tcPr>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贷记卡</w:t>
            </w:r>
          </w:p>
          <w:p>
            <w:pPr>
              <w:snapToGrid w:val="0"/>
              <w:jc w:val="center"/>
              <w:rPr>
                <w:rFonts w:ascii="楷体" w:hAnsi="楷体" w:eastAsia="楷体"/>
                <w:b/>
                <w:bCs/>
                <w:color w:val="000000"/>
                <w:sz w:val="24"/>
                <w:szCs w:val="24"/>
              </w:rPr>
            </w:pPr>
            <w:r>
              <w:rPr>
                <w:rFonts w:hint="eastAsia" w:ascii="楷体" w:hAnsi="楷体" w:eastAsia="楷体"/>
                <w:b/>
                <w:bCs/>
                <w:color w:val="000000"/>
                <w:sz w:val="24"/>
                <w:szCs w:val="24"/>
              </w:rPr>
              <w:t>区域性银行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江苏银行</w:t>
            </w:r>
          </w:p>
        </w:tc>
        <w:tc>
          <w:tcPr>
            <w:tcW w:w="284" w:type="dxa"/>
            <w:vMerge w:val="restart"/>
            <w:tcBorders>
              <w:top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莱商银行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35</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珠海华润银行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莱商银行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天津银行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36</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贵阳银行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天津银行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重庆银行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37</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宁夏银行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重庆银行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包商银行</w:t>
            </w:r>
          </w:p>
        </w:tc>
        <w:tc>
          <w:tcPr>
            <w:tcW w:w="425"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38</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无锡农商行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盛京银行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盛京银行</w:t>
            </w:r>
          </w:p>
        </w:tc>
        <w:tc>
          <w:tcPr>
            <w:tcW w:w="425" w:type="dxa"/>
          </w:tcPr>
          <w:p>
            <w:pPr>
              <w:snapToGrid w:val="0"/>
              <w:jc w:val="center"/>
              <w:rPr>
                <w:rFonts w:ascii="楷体" w:hAnsi="楷体" w:eastAsia="楷体"/>
                <w:color w:val="000000"/>
                <w:sz w:val="24"/>
                <w:szCs w:val="24"/>
              </w:rPr>
            </w:pPr>
            <w:r>
              <w:rPr>
                <w:rFonts w:hint="eastAsia" w:ascii="楷体" w:hAnsi="楷体" w:eastAsia="楷体"/>
                <w:color w:val="000000"/>
                <w:sz w:val="24"/>
                <w:szCs w:val="24"/>
              </w:rPr>
              <w:t>39</w:t>
            </w:r>
          </w:p>
        </w:tc>
        <w:tc>
          <w:tcPr>
            <w:tcW w:w="1917" w:type="dxa"/>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大连银行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大连银行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哈尔滨银行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哈尔滨银行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南京银行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南京银行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杭州银行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杭州银行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宁波银行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宁波银行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浙江民泰商业银行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浙江民泰商业银行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泉州银行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泉州银行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江西银行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江西银行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齐鲁银行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齐鲁银行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临商银行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青岛银行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临商银行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汉口银行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齐商银行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汉口银行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东莞银行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19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乌鲁木齐银行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东莞银行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乌鲁木齐银行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上海农商银行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浙商银行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兰州银行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渤海银行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青海银行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北京农商银行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河北银行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25</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上海农商银行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潍坊银行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26</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兰州银行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威海市商业银行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27</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青海银行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贵阳银行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28</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甘肃银行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宁夏银行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29</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贵州银行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无锡农商行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30</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锦州银行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557" w:type="dxa"/>
            <w:tcBorders>
              <w:bottom w:val="single" w:color="auto" w:sz="4" w:space="0"/>
            </w:tcBorders>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31</w:t>
            </w:r>
          </w:p>
        </w:tc>
        <w:tc>
          <w:tcPr>
            <w:tcW w:w="2268" w:type="dxa"/>
            <w:tcBorders>
              <w:bottom w:val="single" w:color="auto" w:sz="4" w:space="0"/>
            </w:tcBorders>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广州农商银行</w:t>
            </w:r>
          </w:p>
        </w:tc>
        <w:tc>
          <w:tcPr>
            <w:tcW w:w="284" w:type="dxa"/>
            <w:vMerge w:val="continue"/>
            <w:tcBorders>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31</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日照银行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2825" w:type="dxa"/>
            <w:gridSpan w:val="2"/>
            <w:vMerge w:val="restart"/>
            <w:tcBorders>
              <w:left w:val="nil"/>
              <w:bottom w:val="nil"/>
              <w:right w:val="nil"/>
            </w:tcBorders>
            <w:tcMar>
              <w:top w:w="0" w:type="dxa"/>
              <w:left w:w="108" w:type="dxa"/>
              <w:bottom w:w="0" w:type="dxa"/>
              <w:right w:w="108" w:type="dxa"/>
            </w:tcMar>
            <w:vAlign w:val="center"/>
          </w:tcPr>
          <w:p>
            <w:pPr>
              <w:snapToGrid w:val="0"/>
              <w:rPr>
                <w:rFonts w:ascii="楷体" w:hAnsi="楷体" w:eastAsia="楷体"/>
                <w:color w:val="000000"/>
                <w:sz w:val="24"/>
                <w:szCs w:val="24"/>
              </w:rPr>
            </w:pPr>
          </w:p>
        </w:tc>
        <w:tc>
          <w:tcPr>
            <w:tcW w:w="284" w:type="dxa"/>
            <w:vMerge w:val="continue"/>
            <w:tcBorders>
              <w:left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32</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河北银行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2825" w:type="dxa"/>
            <w:gridSpan w:val="2"/>
            <w:vMerge w:val="continue"/>
            <w:tcBorders>
              <w:left w:val="nil"/>
              <w:bottom w:val="nil"/>
              <w:right w:val="nil"/>
            </w:tcBorders>
            <w:vAlign w:val="center"/>
          </w:tcPr>
          <w:p>
            <w:pPr>
              <w:jc w:val="center"/>
              <w:rPr>
                <w:rFonts w:ascii="楷体" w:hAnsi="楷体" w:eastAsia="楷体" w:cs="Calibri"/>
                <w:color w:val="000000"/>
                <w:sz w:val="24"/>
                <w:szCs w:val="24"/>
              </w:rPr>
            </w:pPr>
          </w:p>
        </w:tc>
        <w:tc>
          <w:tcPr>
            <w:tcW w:w="284" w:type="dxa"/>
            <w:vMerge w:val="continue"/>
            <w:tcBorders>
              <w:left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33</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潍坊银行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0" w:hRule="atLeast"/>
          <w:jc w:val="center"/>
        </w:trPr>
        <w:tc>
          <w:tcPr>
            <w:tcW w:w="2825" w:type="dxa"/>
            <w:gridSpan w:val="2"/>
            <w:vMerge w:val="continue"/>
            <w:tcBorders>
              <w:left w:val="nil"/>
              <w:bottom w:val="nil"/>
              <w:right w:val="nil"/>
            </w:tcBorders>
            <w:vAlign w:val="center"/>
          </w:tcPr>
          <w:p>
            <w:pPr>
              <w:jc w:val="center"/>
              <w:rPr>
                <w:rFonts w:ascii="楷体" w:hAnsi="楷体" w:eastAsia="楷体" w:cs="Calibri"/>
                <w:color w:val="000000"/>
                <w:sz w:val="24"/>
                <w:szCs w:val="24"/>
              </w:rPr>
            </w:pPr>
          </w:p>
        </w:tc>
        <w:tc>
          <w:tcPr>
            <w:tcW w:w="284" w:type="dxa"/>
            <w:vMerge w:val="continue"/>
            <w:tcBorders>
              <w:left w:val="nil"/>
              <w:bottom w:val="nil"/>
            </w:tcBorders>
            <w:vAlign w:val="center"/>
          </w:tcPr>
          <w:p>
            <w:pPr>
              <w:jc w:val="center"/>
              <w:rPr>
                <w:rFonts w:ascii="楷体" w:hAnsi="楷体" w:eastAsia="楷体" w:cs="Calibri"/>
                <w:b/>
                <w:bCs/>
                <w:color w:val="000000"/>
                <w:sz w:val="24"/>
                <w:szCs w:val="24"/>
              </w:rPr>
            </w:pPr>
          </w:p>
        </w:tc>
        <w:tc>
          <w:tcPr>
            <w:tcW w:w="567"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34</w:t>
            </w:r>
          </w:p>
        </w:tc>
        <w:tc>
          <w:tcPr>
            <w:tcW w:w="2268" w:type="dxa"/>
            <w:tcMar>
              <w:top w:w="0" w:type="dxa"/>
              <w:left w:w="108" w:type="dxa"/>
              <w:bottom w:w="0" w:type="dxa"/>
              <w:right w:w="108" w:type="dxa"/>
            </w:tcMar>
            <w:vAlign w:val="center"/>
          </w:tcPr>
          <w:p>
            <w:pPr>
              <w:snapToGrid w:val="0"/>
              <w:jc w:val="center"/>
              <w:rPr>
                <w:rFonts w:ascii="楷体" w:hAnsi="楷体" w:eastAsia="楷体"/>
                <w:color w:val="000000"/>
                <w:sz w:val="24"/>
                <w:szCs w:val="24"/>
              </w:rPr>
            </w:pPr>
            <w:r>
              <w:rPr>
                <w:rFonts w:hint="eastAsia" w:ascii="楷体" w:hAnsi="楷体" w:eastAsia="楷体"/>
                <w:color w:val="000000"/>
                <w:sz w:val="24"/>
                <w:szCs w:val="24"/>
              </w:rPr>
              <w:t>威海市商业银行</w:t>
            </w:r>
          </w:p>
        </w:tc>
        <w:tc>
          <w:tcPr>
            <w:tcW w:w="425" w:type="dxa"/>
          </w:tcPr>
          <w:p>
            <w:pPr>
              <w:snapToGrid w:val="0"/>
              <w:jc w:val="center"/>
              <w:rPr>
                <w:rFonts w:ascii="楷体" w:hAnsi="楷体" w:eastAsia="楷体"/>
                <w:color w:val="000000"/>
                <w:sz w:val="24"/>
                <w:szCs w:val="24"/>
              </w:rPr>
            </w:pPr>
          </w:p>
        </w:tc>
        <w:tc>
          <w:tcPr>
            <w:tcW w:w="1917" w:type="dxa"/>
          </w:tcPr>
          <w:p>
            <w:pPr>
              <w:snapToGrid w:val="0"/>
              <w:jc w:val="center"/>
              <w:rPr>
                <w:rFonts w:ascii="楷体" w:hAnsi="楷体" w:eastAsia="楷体"/>
                <w:color w:val="000000"/>
                <w:sz w:val="24"/>
                <w:szCs w:val="24"/>
              </w:rPr>
            </w:pPr>
          </w:p>
        </w:tc>
      </w:tr>
    </w:tbl>
    <w:p>
      <w:pPr>
        <w:widowControl/>
        <w:jc w:val="left"/>
        <w:rPr>
          <w:rFonts w:ascii="楷体" w:hAnsi="楷体" w:eastAsia="楷体"/>
          <w:szCs w:val="21"/>
        </w:rPr>
      </w:pPr>
      <w:r>
        <w:rPr>
          <w:rFonts w:ascii="楷体" w:hAnsi="楷体" w:eastAsia="楷体"/>
          <w:szCs w:val="21"/>
        </w:rPr>
        <w:br w:type="page"/>
      </w:r>
    </w:p>
    <w:p>
      <w:pPr>
        <w:widowControl/>
        <w:jc w:val="center"/>
        <w:rPr>
          <w:rFonts w:ascii="楷体" w:hAnsi="楷体" w:eastAsia="楷体"/>
          <w:szCs w:val="21"/>
        </w:rPr>
      </w:pPr>
      <w:r>
        <w:rPr>
          <w:rFonts w:hint="eastAsia" w:ascii="楷体" w:hAnsi="楷体" w:eastAsia="楷体"/>
          <w:szCs w:val="21"/>
        </w:rPr>
        <w:t>（通用条款）</w:t>
      </w:r>
    </w:p>
    <w:p>
      <w:pPr>
        <w:widowControl/>
        <w:jc w:val="left"/>
        <w:rPr>
          <w:rFonts w:ascii="楷体" w:hAnsi="楷体" w:eastAsia="楷体"/>
          <w:szCs w:val="21"/>
        </w:rPr>
      </w:pPr>
      <w:r>
        <w:rPr>
          <w:rFonts w:hint="eastAsia" w:ascii="楷体" w:hAnsi="楷体" w:eastAsia="楷体"/>
          <w:szCs w:val="21"/>
        </w:rPr>
        <w:t>鉴于：</w:t>
      </w:r>
    </w:p>
    <w:p>
      <w:pPr>
        <w:adjustRightInd w:val="0"/>
        <w:snapToGrid w:val="0"/>
        <w:ind w:firstLine="420" w:firstLineChars="200"/>
        <w:rPr>
          <w:rFonts w:ascii="楷体" w:hAnsi="楷体" w:eastAsia="楷体"/>
          <w:szCs w:val="21"/>
        </w:rPr>
      </w:pPr>
      <w:r>
        <w:rPr>
          <w:rFonts w:hint="eastAsia" w:ascii="楷体" w:hAnsi="楷体" w:eastAsia="楷体"/>
          <w:szCs w:val="21"/>
        </w:rPr>
        <w:t>甲方</w:t>
      </w:r>
      <w:r>
        <w:rPr>
          <w:rFonts w:ascii="楷体" w:hAnsi="楷体" w:eastAsia="楷体"/>
          <w:szCs w:val="21"/>
        </w:rPr>
        <w:t>为</w:t>
      </w:r>
      <w:r>
        <w:rPr>
          <w:rFonts w:hint="eastAsia" w:ascii="楷体" w:hAnsi="楷体" w:eastAsia="楷体"/>
          <w:szCs w:val="21"/>
        </w:rPr>
        <w:t>有综合</w:t>
      </w:r>
      <w:r>
        <w:rPr>
          <w:rFonts w:ascii="楷体" w:hAnsi="楷体" w:eastAsia="楷体"/>
          <w:szCs w:val="21"/>
        </w:rPr>
        <w:t>支付</w:t>
      </w:r>
      <w:r>
        <w:rPr>
          <w:rFonts w:hint="eastAsia" w:ascii="楷体" w:hAnsi="楷体" w:eastAsia="楷体"/>
          <w:szCs w:val="21"/>
        </w:rPr>
        <w:t>服务的</w:t>
      </w:r>
      <w:r>
        <w:rPr>
          <w:rFonts w:ascii="楷体" w:hAnsi="楷体" w:eastAsia="楷体"/>
          <w:szCs w:val="21"/>
        </w:rPr>
        <w:t>需求</w:t>
      </w:r>
      <w:r>
        <w:rPr>
          <w:rFonts w:hint="eastAsia" w:ascii="楷体" w:hAnsi="楷体" w:eastAsia="楷体"/>
          <w:szCs w:val="21"/>
        </w:rPr>
        <w:t>、</w:t>
      </w:r>
      <w:r>
        <w:rPr>
          <w:rFonts w:ascii="楷体" w:hAnsi="楷体" w:eastAsia="楷体"/>
          <w:szCs w:val="21"/>
        </w:rPr>
        <w:t>依法成立并有效存续的</w:t>
      </w:r>
      <w:r>
        <w:rPr>
          <w:rFonts w:hint="eastAsia" w:ascii="楷体" w:hAnsi="楷体" w:eastAsia="楷体"/>
          <w:szCs w:val="21"/>
        </w:rPr>
        <w:t>法律主体；</w:t>
      </w:r>
    </w:p>
    <w:p>
      <w:pPr>
        <w:adjustRightInd w:val="0"/>
        <w:snapToGrid w:val="0"/>
        <w:ind w:firstLine="480"/>
        <w:rPr>
          <w:rFonts w:ascii="楷体" w:hAnsi="楷体" w:eastAsia="楷体"/>
          <w:szCs w:val="21"/>
        </w:rPr>
      </w:pPr>
      <w:r>
        <w:rPr>
          <w:rFonts w:hint="eastAsia" w:ascii="楷体" w:hAnsi="楷体" w:eastAsia="楷体"/>
          <w:szCs w:val="21"/>
        </w:rPr>
        <w:t>乙方</w:t>
      </w:r>
      <w:r>
        <w:rPr>
          <w:rFonts w:ascii="楷体" w:hAnsi="楷体" w:eastAsia="楷体"/>
          <w:szCs w:val="21"/>
        </w:rPr>
        <w:t>为经</w:t>
      </w:r>
      <w:r>
        <w:rPr>
          <w:rFonts w:hint="eastAsia" w:ascii="楷体" w:hAnsi="楷体" w:eastAsia="楷体"/>
          <w:szCs w:val="21"/>
        </w:rPr>
        <w:t>中国</w:t>
      </w:r>
      <w:r>
        <w:rPr>
          <w:rFonts w:ascii="楷体" w:hAnsi="楷体" w:eastAsia="楷体"/>
          <w:szCs w:val="21"/>
        </w:rPr>
        <w:t>人民银行许可</w:t>
      </w:r>
      <w:r>
        <w:rPr>
          <w:rFonts w:hint="eastAsia" w:ascii="楷体" w:hAnsi="楷体" w:eastAsia="楷体"/>
          <w:szCs w:val="21"/>
        </w:rPr>
        <w:t xml:space="preserve">、持有中国人民银行颁发的 </w:t>
      </w:r>
      <w:r>
        <w:fldChar w:fldCharType="begin"/>
      </w:r>
      <w:r>
        <w:instrText xml:space="preserve"> HYPERLINK "http://www.chinapnr.com/news/wp-content/uploads/licence-big.jpg" </w:instrText>
      </w:r>
      <w:r>
        <w:fldChar w:fldCharType="separate"/>
      </w:r>
      <w:r>
        <w:rPr>
          <w:rFonts w:hint="eastAsia" w:ascii="楷体" w:hAnsi="楷体" w:eastAsia="楷体"/>
          <w:szCs w:val="21"/>
        </w:rPr>
        <w:t>《</w:t>
      </w:r>
      <w:r>
        <w:rPr>
          <w:rFonts w:hint="eastAsia" w:ascii="楷体" w:hAnsi="楷体" w:eastAsia="楷体"/>
          <w:szCs w:val="21"/>
        </w:rPr>
        <w:fldChar w:fldCharType="end"/>
      </w:r>
      <w:r>
        <w:rPr>
          <w:rFonts w:hint="eastAsia" w:ascii="楷体" w:hAnsi="楷体" w:eastAsia="楷体"/>
          <w:szCs w:val="21"/>
        </w:rPr>
        <w:t>支付业务许可证</w:t>
      </w:r>
      <w:r>
        <w:fldChar w:fldCharType="begin"/>
      </w:r>
      <w:r>
        <w:instrText xml:space="preserve"> HYPERLINK "http://www.chinapnr.com/news/wp-content/uploads/licence-big.jpg" </w:instrText>
      </w:r>
      <w:r>
        <w:fldChar w:fldCharType="separate"/>
      </w:r>
      <w:r>
        <w:rPr>
          <w:rFonts w:hint="eastAsia" w:ascii="楷体" w:hAnsi="楷体" w:eastAsia="楷体"/>
          <w:szCs w:val="21"/>
        </w:rPr>
        <w:t>》</w:t>
      </w:r>
      <w:r>
        <w:rPr>
          <w:rFonts w:hint="eastAsia" w:ascii="楷体" w:hAnsi="楷体" w:eastAsia="楷体"/>
          <w:szCs w:val="21"/>
        </w:rPr>
        <w:fldChar w:fldCharType="end"/>
      </w:r>
      <w:r>
        <w:rPr>
          <w:rFonts w:ascii="楷体" w:hAnsi="楷体" w:eastAsia="楷体"/>
          <w:szCs w:val="21"/>
        </w:rPr>
        <w:t>，</w:t>
      </w:r>
      <w:r>
        <w:rPr>
          <w:rFonts w:hint="eastAsia" w:ascii="楷体" w:hAnsi="楷体" w:eastAsia="楷体"/>
          <w:szCs w:val="21"/>
        </w:rPr>
        <w:t>专业</w:t>
      </w:r>
      <w:r>
        <w:rPr>
          <w:rFonts w:ascii="楷体" w:hAnsi="楷体" w:eastAsia="楷体"/>
          <w:szCs w:val="21"/>
        </w:rPr>
        <w:t>从事银行卡收单及</w:t>
      </w:r>
      <w:r>
        <w:rPr>
          <w:rFonts w:hint="eastAsia" w:ascii="楷体" w:hAnsi="楷体" w:eastAsia="楷体"/>
          <w:szCs w:val="21"/>
        </w:rPr>
        <w:t>网络</w:t>
      </w:r>
      <w:r>
        <w:rPr>
          <w:rFonts w:ascii="楷体" w:hAnsi="楷体" w:eastAsia="楷体"/>
          <w:szCs w:val="21"/>
        </w:rPr>
        <w:t>支付</w:t>
      </w:r>
      <w:r>
        <w:rPr>
          <w:rFonts w:hint="eastAsia" w:ascii="楷体" w:hAnsi="楷体" w:eastAsia="楷体"/>
          <w:szCs w:val="21"/>
        </w:rPr>
        <w:t>等</w:t>
      </w:r>
      <w:r>
        <w:rPr>
          <w:rFonts w:ascii="楷体" w:hAnsi="楷体" w:eastAsia="楷体"/>
          <w:szCs w:val="21"/>
        </w:rPr>
        <w:t>综合支付</w:t>
      </w:r>
      <w:r>
        <w:rPr>
          <w:rFonts w:hint="eastAsia" w:ascii="楷体" w:hAnsi="楷体" w:eastAsia="楷体"/>
          <w:szCs w:val="21"/>
        </w:rPr>
        <w:t>业务</w:t>
      </w:r>
      <w:r>
        <w:rPr>
          <w:rFonts w:ascii="楷体" w:hAnsi="楷体" w:eastAsia="楷体"/>
          <w:szCs w:val="21"/>
        </w:rPr>
        <w:t>服务的</w:t>
      </w:r>
      <w:r>
        <w:rPr>
          <w:rFonts w:hint="eastAsia" w:ascii="楷体" w:hAnsi="楷体" w:eastAsia="楷体"/>
          <w:szCs w:val="21"/>
        </w:rPr>
        <w:t>第三方支付</w:t>
      </w:r>
      <w:r>
        <w:rPr>
          <w:rFonts w:ascii="楷体" w:hAnsi="楷体" w:eastAsia="楷体"/>
          <w:szCs w:val="21"/>
        </w:rPr>
        <w:t>机构。</w:t>
      </w:r>
    </w:p>
    <w:p>
      <w:pPr>
        <w:adjustRightInd w:val="0"/>
        <w:snapToGrid w:val="0"/>
        <w:ind w:firstLine="480"/>
        <w:rPr>
          <w:rFonts w:ascii="楷体" w:hAnsi="楷体" w:eastAsia="楷体"/>
          <w:szCs w:val="21"/>
        </w:rPr>
      </w:pPr>
      <w:r>
        <w:rPr>
          <w:rFonts w:hint="eastAsia" w:ascii="楷体" w:hAnsi="楷体" w:eastAsia="楷体"/>
          <w:szCs w:val="21"/>
        </w:rPr>
        <w:t>双方本着平等互利、诚实信用的原则，经友好协商签订本协议。</w:t>
      </w:r>
    </w:p>
    <w:p>
      <w:pPr>
        <w:adjustRightInd w:val="0"/>
        <w:snapToGrid w:val="0"/>
        <w:ind w:firstLine="480"/>
        <w:rPr>
          <w:rFonts w:ascii="楷体" w:hAnsi="楷体" w:eastAsia="楷体"/>
          <w:b/>
          <w:szCs w:val="21"/>
        </w:rPr>
      </w:pPr>
      <w:r>
        <w:rPr>
          <w:rFonts w:hint="eastAsia" w:ascii="楷体" w:hAnsi="楷体" w:eastAsia="楷体"/>
          <w:b/>
          <w:szCs w:val="21"/>
        </w:rPr>
        <w:t>甲方声明：乙方已采取合理方式提请其注意本协议的全部条款，并对其内容进行了充分说明。甲方自愿同意按照本协议的约定行使权利和履行义务。</w:t>
      </w:r>
    </w:p>
    <w:p>
      <w:pPr>
        <w:adjustRightInd w:val="0"/>
        <w:snapToGrid w:val="0"/>
        <w:rPr>
          <w:rFonts w:ascii="楷体" w:hAnsi="楷体" w:eastAsia="楷体"/>
          <w:b/>
          <w:szCs w:val="21"/>
        </w:rPr>
      </w:pPr>
    </w:p>
    <w:p>
      <w:pPr>
        <w:pStyle w:val="12"/>
        <w:numPr>
          <w:ilvl w:val="0"/>
          <w:numId w:val="2"/>
        </w:numPr>
        <w:ind w:firstLineChars="0"/>
        <w:jc w:val="center"/>
        <w:rPr>
          <w:rFonts w:ascii="楷体" w:hAnsi="楷体" w:eastAsia="楷体"/>
          <w:b/>
          <w:szCs w:val="21"/>
        </w:rPr>
      </w:pPr>
      <w:r>
        <w:rPr>
          <w:rFonts w:hint="eastAsia" w:ascii="楷体" w:hAnsi="楷体" w:eastAsia="楷体"/>
          <w:b/>
          <w:szCs w:val="21"/>
        </w:rPr>
        <w:t>释义</w:t>
      </w:r>
    </w:p>
    <w:p>
      <w:pPr>
        <w:pStyle w:val="12"/>
        <w:numPr>
          <w:ilvl w:val="0"/>
          <w:numId w:val="3"/>
        </w:numPr>
        <w:ind w:firstLineChars="0"/>
        <w:rPr>
          <w:rFonts w:ascii="楷体" w:hAnsi="楷体" w:eastAsia="楷体"/>
          <w:szCs w:val="21"/>
        </w:rPr>
      </w:pPr>
      <w:r>
        <w:rPr>
          <w:rFonts w:hint="eastAsia" w:ascii="楷体" w:hAnsi="楷体" w:eastAsia="楷体"/>
          <w:b/>
          <w:szCs w:val="21"/>
        </w:rPr>
        <w:t>综合支付</w:t>
      </w:r>
      <w:r>
        <w:rPr>
          <w:rFonts w:ascii="楷体" w:hAnsi="楷体" w:eastAsia="楷体"/>
          <w:b/>
          <w:szCs w:val="21"/>
        </w:rPr>
        <w:t>服务:</w:t>
      </w:r>
      <w:r>
        <w:rPr>
          <w:rFonts w:hint="eastAsia" w:ascii="楷体" w:hAnsi="楷体" w:eastAsia="楷体"/>
          <w:szCs w:val="21"/>
        </w:rPr>
        <w:t>指甲方作为乙方特约商户，按照</w:t>
      </w:r>
      <w:r>
        <w:rPr>
          <w:rFonts w:ascii="楷体" w:hAnsi="楷体" w:eastAsia="楷体"/>
          <w:szCs w:val="21"/>
        </w:rPr>
        <w:t>本协议</w:t>
      </w:r>
      <w:r>
        <w:rPr>
          <w:rFonts w:hint="eastAsia" w:ascii="楷体" w:hAnsi="楷体" w:eastAsia="楷体"/>
          <w:szCs w:val="21"/>
        </w:rPr>
        <w:t>的</w:t>
      </w:r>
      <w:r>
        <w:rPr>
          <w:rFonts w:ascii="楷体" w:hAnsi="楷体" w:eastAsia="楷体"/>
          <w:szCs w:val="21"/>
        </w:rPr>
        <w:t>约定</w:t>
      </w:r>
      <w:r>
        <w:rPr>
          <w:rFonts w:hint="eastAsia" w:ascii="楷体" w:hAnsi="楷体" w:eastAsia="楷体"/>
          <w:szCs w:val="21"/>
        </w:rPr>
        <w:t>,乙方</w:t>
      </w:r>
      <w:r>
        <w:rPr>
          <w:rFonts w:ascii="楷体" w:hAnsi="楷体" w:eastAsia="楷体"/>
          <w:szCs w:val="21"/>
        </w:rPr>
        <w:t>向甲方提供的</w:t>
      </w:r>
      <w:r>
        <w:rPr>
          <w:rFonts w:hint="eastAsia" w:ascii="楷体" w:hAnsi="楷体" w:eastAsia="楷体"/>
          <w:szCs w:val="21"/>
        </w:rPr>
        <w:t>融合银行卡收单支付</w:t>
      </w:r>
      <w:r>
        <w:rPr>
          <w:rFonts w:ascii="楷体" w:hAnsi="楷体" w:eastAsia="楷体"/>
          <w:szCs w:val="21"/>
        </w:rPr>
        <w:t>及网络支付</w:t>
      </w:r>
      <w:r>
        <w:rPr>
          <w:rFonts w:hint="eastAsia" w:ascii="楷体" w:hAnsi="楷体" w:eastAsia="楷体"/>
          <w:szCs w:val="21"/>
        </w:rPr>
        <w:t>等多个支付渠道的支付服务产品</w:t>
      </w:r>
      <w:r>
        <w:rPr>
          <w:rFonts w:ascii="楷体" w:hAnsi="楷体" w:eastAsia="楷体"/>
          <w:szCs w:val="21"/>
        </w:rPr>
        <w:t>。</w:t>
      </w:r>
    </w:p>
    <w:p>
      <w:pPr>
        <w:pStyle w:val="12"/>
        <w:numPr>
          <w:ilvl w:val="0"/>
          <w:numId w:val="3"/>
        </w:numPr>
        <w:ind w:firstLineChars="0"/>
        <w:rPr>
          <w:rFonts w:ascii="楷体" w:hAnsi="楷体" w:eastAsia="楷体"/>
          <w:szCs w:val="21"/>
        </w:rPr>
      </w:pPr>
      <w:r>
        <w:rPr>
          <w:rFonts w:hint="eastAsia" w:ascii="楷体" w:hAnsi="楷体" w:eastAsia="楷体"/>
          <w:b/>
          <w:szCs w:val="21"/>
        </w:rPr>
        <w:t>特约商户:</w:t>
      </w:r>
      <w:r>
        <w:rPr>
          <w:rFonts w:hint="eastAsia" w:ascii="楷体" w:hAnsi="楷体" w:eastAsia="楷体"/>
          <w:szCs w:val="21"/>
        </w:rPr>
        <w:t>指与收单机构(本协议特指乙方)签订银行卡受理协议、按约定受理银行卡并委托收单机构为其完成交易资金结算的企事业单位、个体工商户或其他组织(本协议特指甲方)。实体特约商户，是指通过实体经营场所提供商品或服务的特约商户。网络特约商户，是指基于公共网络信息系统提供商品或服务的特约商户。</w:t>
      </w:r>
    </w:p>
    <w:p>
      <w:pPr>
        <w:pStyle w:val="12"/>
        <w:numPr>
          <w:ilvl w:val="0"/>
          <w:numId w:val="3"/>
        </w:numPr>
        <w:ind w:firstLineChars="0"/>
        <w:rPr>
          <w:rFonts w:ascii="楷体" w:hAnsi="楷体" w:eastAsia="楷体"/>
          <w:szCs w:val="21"/>
        </w:rPr>
      </w:pPr>
      <w:r>
        <w:rPr>
          <w:rFonts w:hint="eastAsia" w:ascii="楷体" w:hAnsi="楷体" w:eastAsia="楷体"/>
          <w:b/>
          <w:szCs w:val="21"/>
        </w:rPr>
        <w:t>银行卡收单:</w:t>
      </w:r>
      <w:r>
        <w:rPr>
          <w:rFonts w:hint="eastAsia" w:ascii="楷体" w:hAnsi="楷体" w:eastAsia="楷体"/>
          <w:szCs w:val="21"/>
        </w:rPr>
        <w:t>指乙方</w:t>
      </w:r>
      <w:r>
        <w:rPr>
          <w:rFonts w:ascii="楷体" w:hAnsi="楷体" w:eastAsia="楷体"/>
          <w:szCs w:val="21"/>
        </w:rPr>
        <w:t>按本协议</w:t>
      </w:r>
      <w:r>
        <w:rPr>
          <w:rFonts w:hint="eastAsia" w:ascii="楷体" w:hAnsi="楷体" w:eastAsia="楷体"/>
          <w:szCs w:val="21"/>
        </w:rPr>
        <w:t>银行卡收单</w:t>
      </w:r>
      <w:r>
        <w:rPr>
          <w:rFonts w:ascii="楷体" w:hAnsi="楷体" w:eastAsia="楷体"/>
          <w:szCs w:val="21"/>
        </w:rPr>
        <w:t>条款约定</w:t>
      </w:r>
      <w:r>
        <w:rPr>
          <w:rFonts w:hint="eastAsia" w:ascii="楷体" w:hAnsi="楷体" w:eastAsia="楷体"/>
          <w:szCs w:val="21"/>
        </w:rPr>
        <w:t>，</w:t>
      </w:r>
      <w:r>
        <w:rPr>
          <w:rFonts w:ascii="楷体" w:hAnsi="楷体" w:eastAsia="楷体"/>
          <w:szCs w:val="21"/>
        </w:rPr>
        <w:t>甲方</w:t>
      </w:r>
      <w:r>
        <w:rPr>
          <w:rFonts w:hint="eastAsia" w:ascii="楷体" w:hAnsi="楷体" w:eastAsia="楷体"/>
          <w:szCs w:val="21"/>
        </w:rPr>
        <w:t>作为乙方</w:t>
      </w:r>
      <w:r>
        <w:rPr>
          <w:rFonts w:ascii="楷体" w:hAnsi="楷体" w:eastAsia="楷体"/>
          <w:szCs w:val="21"/>
        </w:rPr>
        <w:t>的实体特约商户，按约定受理银行卡并</w:t>
      </w:r>
      <w:r>
        <w:rPr>
          <w:rFonts w:hint="eastAsia" w:ascii="楷体" w:hAnsi="楷体" w:eastAsia="楷体"/>
          <w:szCs w:val="21"/>
        </w:rPr>
        <w:t>与客户</w:t>
      </w:r>
      <w:r>
        <w:rPr>
          <w:rFonts w:ascii="楷体" w:hAnsi="楷体" w:eastAsia="楷体"/>
          <w:szCs w:val="21"/>
        </w:rPr>
        <w:t>达成交易后，</w:t>
      </w:r>
      <w:r>
        <w:rPr>
          <w:rFonts w:hint="eastAsia" w:ascii="楷体" w:hAnsi="楷体" w:eastAsia="楷体"/>
          <w:szCs w:val="21"/>
        </w:rPr>
        <w:t>乙方</w:t>
      </w:r>
      <w:r>
        <w:rPr>
          <w:rFonts w:ascii="楷体" w:hAnsi="楷体" w:eastAsia="楷体"/>
          <w:szCs w:val="21"/>
        </w:rPr>
        <w:t>作为</w:t>
      </w:r>
      <w:r>
        <w:rPr>
          <w:rFonts w:hint="eastAsia" w:ascii="楷体" w:hAnsi="楷体" w:eastAsia="楷体"/>
          <w:szCs w:val="21"/>
        </w:rPr>
        <w:t>收单机构为甲方提供交易资金结算服务的行为。</w:t>
      </w:r>
    </w:p>
    <w:p>
      <w:pPr>
        <w:pStyle w:val="12"/>
        <w:numPr>
          <w:ilvl w:val="0"/>
          <w:numId w:val="3"/>
        </w:numPr>
        <w:ind w:firstLineChars="0"/>
        <w:rPr>
          <w:rFonts w:ascii="楷体" w:hAnsi="楷体" w:eastAsia="楷体"/>
          <w:szCs w:val="21"/>
        </w:rPr>
      </w:pPr>
      <w:r>
        <w:rPr>
          <w:rFonts w:hint="eastAsia" w:ascii="楷体" w:hAnsi="楷体" w:eastAsia="楷体"/>
          <w:b/>
          <w:szCs w:val="21"/>
        </w:rPr>
        <w:t>网络支付:</w:t>
      </w:r>
      <w:r>
        <w:rPr>
          <w:rFonts w:hint="eastAsia" w:ascii="楷体" w:hAnsi="楷体" w:eastAsia="楷体"/>
          <w:szCs w:val="21"/>
        </w:rPr>
        <w:t>指甲方</w:t>
      </w:r>
      <w:r>
        <w:rPr>
          <w:rFonts w:ascii="楷体" w:hAnsi="楷体" w:eastAsia="楷体"/>
          <w:szCs w:val="21"/>
        </w:rPr>
        <w:t>基于</w:t>
      </w:r>
      <w:r>
        <w:rPr>
          <w:rFonts w:hint="eastAsia" w:ascii="楷体" w:hAnsi="楷体" w:eastAsia="楷体"/>
          <w:szCs w:val="21"/>
        </w:rPr>
        <w:t>与客户</w:t>
      </w:r>
      <w:r>
        <w:rPr>
          <w:rFonts w:ascii="楷体" w:hAnsi="楷体" w:eastAsia="楷体"/>
          <w:szCs w:val="21"/>
        </w:rPr>
        <w:t>的</w:t>
      </w:r>
      <w:r>
        <w:rPr>
          <w:rFonts w:hint="eastAsia" w:ascii="楷体" w:hAnsi="楷体" w:eastAsia="楷体"/>
          <w:szCs w:val="21"/>
        </w:rPr>
        <w:t>交易约定</w:t>
      </w:r>
      <w:r>
        <w:rPr>
          <w:rFonts w:ascii="楷体" w:hAnsi="楷体" w:eastAsia="楷体"/>
          <w:szCs w:val="21"/>
        </w:rPr>
        <w:t>，</w:t>
      </w:r>
      <w:r>
        <w:rPr>
          <w:rFonts w:hint="eastAsia" w:ascii="楷体" w:hAnsi="楷体" w:eastAsia="楷体"/>
          <w:szCs w:val="21"/>
        </w:rPr>
        <w:t>乙方</w:t>
      </w:r>
      <w:r>
        <w:rPr>
          <w:rFonts w:ascii="楷体" w:hAnsi="楷体" w:eastAsia="楷体"/>
          <w:szCs w:val="21"/>
        </w:rPr>
        <w:t>按照本协议网络支付条款的约定，</w:t>
      </w:r>
      <w:r>
        <w:rPr>
          <w:rFonts w:hint="eastAsia" w:ascii="楷体" w:hAnsi="楷体" w:eastAsia="楷体"/>
          <w:szCs w:val="21"/>
        </w:rPr>
        <w:t>甲方作为</w:t>
      </w:r>
      <w:r>
        <w:rPr>
          <w:rFonts w:ascii="楷体" w:hAnsi="楷体" w:eastAsia="楷体"/>
          <w:szCs w:val="21"/>
        </w:rPr>
        <w:t>乙方的</w:t>
      </w:r>
      <w:r>
        <w:rPr>
          <w:rFonts w:hint="eastAsia" w:ascii="楷体" w:hAnsi="楷体" w:eastAsia="楷体"/>
          <w:szCs w:val="21"/>
        </w:rPr>
        <w:t>网络</w:t>
      </w:r>
      <w:r>
        <w:rPr>
          <w:rFonts w:ascii="楷体" w:hAnsi="楷体" w:eastAsia="楷体"/>
          <w:szCs w:val="21"/>
        </w:rPr>
        <w:t>特约商户，</w:t>
      </w:r>
      <w:r>
        <w:rPr>
          <w:rFonts w:hint="eastAsia" w:ascii="楷体" w:hAnsi="楷体" w:eastAsia="楷体"/>
          <w:szCs w:val="21"/>
        </w:rPr>
        <w:t>依托</w:t>
      </w:r>
      <w:r>
        <w:rPr>
          <w:rFonts w:ascii="楷体" w:hAnsi="楷体" w:eastAsia="楷体"/>
          <w:szCs w:val="21"/>
        </w:rPr>
        <w:t>互联网远程</w:t>
      </w:r>
      <w:r>
        <w:rPr>
          <w:rFonts w:hint="eastAsia" w:ascii="楷体" w:hAnsi="楷体" w:eastAsia="楷体"/>
          <w:szCs w:val="21"/>
        </w:rPr>
        <w:t>向乙方</w:t>
      </w:r>
      <w:r>
        <w:rPr>
          <w:rFonts w:ascii="楷体" w:hAnsi="楷体" w:eastAsia="楷体"/>
          <w:szCs w:val="21"/>
        </w:rPr>
        <w:t>发起支付指令，</w:t>
      </w:r>
      <w:r>
        <w:rPr>
          <w:rFonts w:hint="eastAsia" w:ascii="楷体" w:hAnsi="楷体" w:eastAsia="楷体"/>
          <w:szCs w:val="21"/>
        </w:rPr>
        <w:t>乙方为甲方提供</w:t>
      </w:r>
      <w:r>
        <w:rPr>
          <w:rFonts w:ascii="楷体" w:hAnsi="楷体" w:eastAsia="楷体"/>
          <w:szCs w:val="21"/>
        </w:rPr>
        <w:t>收款或付款等</w:t>
      </w:r>
      <w:r>
        <w:rPr>
          <w:rFonts w:hint="eastAsia" w:ascii="楷体" w:hAnsi="楷体" w:eastAsia="楷体"/>
          <w:szCs w:val="21"/>
        </w:rPr>
        <w:t>货币资金转移服务的活动</w:t>
      </w:r>
      <w:r>
        <w:rPr>
          <w:rFonts w:ascii="楷体" w:hAnsi="楷体" w:eastAsia="楷体"/>
          <w:szCs w:val="21"/>
        </w:rPr>
        <w:t>。</w:t>
      </w:r>
    </w:p>
    <w:p>
      <w:pPr>
        <w:pStyle w:val="12"/>
        <w:numPr>
          <w:ilvl w:val="0"/>
          <w:numId w:val="3"/>
        </w:numPr>
        <w:ind w:firstLineChars="0"/>
        <w:rPr>
          <w:rFonts w:ascii="楷体" w:hAnsi="楷体" w:eastAsia="楷体"/>
          <w:szCs w:val="21"/>
        </w:rPr>
      </w:pPr>
      <w:r>
        <w:rPr>
          <w:rFonts w:hint="eastAsia" w:ascii="楷体" w:hAnsi="楷体" w:eastAsia="楷体"/>
          <w:b/>
          <w:szCs w:val="21"/>
        </w:rPr>
        <w:t>交易：</w:t>
      </w:r>
      <w:r>
        <w:rPr>
          <w:rFonts w:hint="eastAsia" w:ascii="楷体" w:hAnsi="楷体" w:eastAsia="楷体"/>
          <w:szCs w:val="21"/>
        </w:rPr>
        <w:t>指甲方经营的实体</w:t>
      </w:r>
      <w:r>
        <w:rPr>
          <w:rFonts w:ascii="楷体" w:hAnsi="楷体" w:eastAsia="楷体"/>
          <w:szCs w:val="21"/>
        </w:rPr>
        <w:t>或</w:t>
      </w:r>
      <w:r>
        <w:rPr>
          <w:rFonts w:hint="eastAsia" w:ascii="楷体" w:hAnsi="楷体" w:eastAsia="楷体"/>
          <w:szCs w:val="21"/>
        </w:rPr>
        <w:t>网络特约商户依法</w:t>
      </w:r>
      <w:r>
        <w:rPr>
          <w:rFonts w:ascii="楷体" w:hAnsi="楷体" w:eastAsia="楷体"/>
          <w:szCs w:val="21"/>
        </w:rPr>
        <w:t>进行的</w:t>
      </w:r>
      <w:r>
        <w:rPr>
          <w:rFonts w:hint="eastAsia" w:ascii="楷体" w:hAnsi="楷体" w:eastAsia="楷体"/>
          <w:szCs w:val="21"/>
        </w:rPr>
        <w:t>货物</w:t>
      </w:r>
      <w:r>
        <w:rPr>
          <w:rFonts w:ascii="楷体" w:hAnsi="楷体" w:eastAsia="楷体"/>
          <w:szCs w:val="21"/>
        </w:rPr>
        <w:t>或服务</w:t>
      </w:r>
      <w:r>
        <w:rPr>
          <w:rFonts w:hint="eastAsia" w:ascii="楷体" w:hAnsi="楷体" w:eastAsia="楷体"/>
          <w:szCs w:val="21"/>
        </w:rPr>
        <w:t>贸易。</w:t>
      </w:r>
    </w:p>
    <w:p>
      <w:pPr>
        <w:pStyle w:val="12"/>
        <w:numPr>
          <w:ilvl w:val="0"/>
          <w:numId w:val="3"/>
        </w:numPr>
        <w:ind w:firstLineChars="0"/>
        <w:rPr>
          <w:rFonts w:ascii="楷体" w:hAnsi="楷体" w:eastAsia="楷体"/>
          <w:szCs w:val="21"/>
        </w:rPr>
      </w:pPr>
      <w:r>
        <w:rPr>
          <w:rFonts w:hint="eastAsia" w:ascii="楷体" w:hAnsi="楷体" w:eastAsia="楷体"/>
          <w:b/>
          <w:szCs w:val="21"/>
        </w:rPr>
        <w:t>甲方用户：</w:t>
      </w:r>
      <w:r>
        <w:rPr>
          <w:rFonts w:ascii="楷体" w:hAnsi="楷体" w:eastAsia="楷体"/>
          <w:szCs w:val="21"/>
        </w:rPr>
        <w:t>指通过甲方</w:t>
      </w:r>
      <w:r>
        <w:rPr>
          <w:rFonts w:hint="eastAsia" w:ascii="楷体" w:hAnsi="楷体" w:eastAsia="楷体"/>
          <w:szCs w:val="21"/>
        </w:rPr>
        <w:t>经营</w:t>
      </w:r>
      <w:r>
        <w:rPr>
          <w:rFonts w:ascii="楷体" w:hAnsi="楷体" w:eastAsia="楷体"/>
          <w:szCs w:val="21"/>
        </w:rPr>
        <w:t>的</w:t>
      </w:r>
      <w:r>
        <w:rPr>
          <w:rFonts w:hint="eastAsia" w:ascii="楷体" w:hAnsi="楷体" w:eastAsia="楷体"/>
          <w:szCs w:val="21"/>
        </w:rPr>
        <w:t>实体或网络特约商户购买</w:t>
      </w:r>
      <w:r>
        <w:rPr>
          <w:rFonts w:ascii="楷体" w:hAnsi="楷体" w:eastAsia="楷体"/>
          <w:szCs w:val="21"/>
        </w:rPr>
        <w:t>甲方</w:t>
      </w:r>
      <w:r>
        <w:rPr>
          <w:rFonts w:hint="eastAsia" w:ascii="楷体" w:hAnsi="楷体" w:eastAsia="楷体"/>
          <w:szCs w:val="21"/>
        </w:rPr>
        <w:t>提供</w:t>
      </w:r>
      <w:r>
        <w:rPr>
          <w:rFonts w:ascii="楷体" w:hAnsi="楷体" w:eastAsia="楷体"/>
          <w:szCs w:val="21"/>
        </w:rPr>
        <w:t>的货物或服务</w:t>
      </w:r>
      <w:r>
        <w:rPr>
          <w:rFonts w:hint="eastAsia" w:ascii="楷体" w:hAnsi="楷体" w:eastAsia="楷体"/>
          <w:szCs w:val="21"/>
        </w:rPr>
        <w:t>的自然人、</w:t>
      </w:r>
      <w:r>
        <w:rPr>
          <w:rFonts w:ascii="楷体" w:hAnsi="楷体" w:eastAsia="楷体"/>
          <w:szCs w:val="21"/>
        </w:rPr>
        <w:t>法人或其他组织。</w:t>
      </w:r>
    </w:p>
    <w:p>
      <w:pPr>
        <w:pStyle w:val="12"/>
        <w:numPr>
          <w:ilvl w:val="0"/>
          <w:numId w:val="3"/>
        </w:numPr>
        <w:ind w:firstLineChars="0"/>
        <w:rPr>
          <w:rFonts w:ascii="楷体" w:hAnsi="楷体" w:eastAsia="楷体"/>
          <w:szCs w:val="21"/>
        </w:rPr>
      </w:pPr>
      <w:r>
        <w:rPr>
          <w:rFonts w:hint="eastAsia" w:ascii="楷体" w:hAnsi="楷体" w:eastAsia="楷体"/>
          <w:b/>
          <w:szCs w:val="21"/>
        </w:rPr>
        <w:t>持卡人：</w:t>
      </w:r>
      <w:r>
        <w:rPr>
          <w:rFonts w:hint="eastAsia" w:ascii="楷体" w:hAnsi="楷体" w:eastAsia="楷体"/>
          <w:szCs w:val="21"/>
        </w:rPr>
        <w:t>指银行卡的合法持有人，</w:t>
      </w:r>
      <w:r>
        <w:rPr>
          <w:rFonts w:ascii="楷体" w:hAnsi="楷体" w:eastAsia="楷体"/>
          <w:szCs w:val="21"/>
        </w:rPr>
        <w:t>通常为</w:t>
      </w:r>
      <w:r>
        <w:rPr>
          <w:rFonts w:hint="eastAsia" w:ascii="楷体" w:hAnsi="楷体" w:eastAsia="楷体"/>
          <w:szCs w:val="21"/>
        </w:rPr>
        <w:t>“甲方用户</w:t>
      </w:r>
      <w:r>
        <w:rPr>
          <w:rFonts w:ascii="楷体" w:hAnsi="楷体" w:eastAsia="楷体"/>
          <w:szCs w:val="21"/>
        </w:rPr>
        <w:t>”</w:t>
      </w:r>
      <w:r>
        <w:rPr>
          <w:rFonts w:hint="eastAsia" w:ascii="楷体" w:hAnsi="楷体" w:eastAsia="楷体"/>
          <w:szCs w:val="21"/>
        </w:rPr>
        <w:t>。</w:t>
      </w:r>
    </w:p>
    <w:p>
      <w:pPr>
        <w:pStyle w:val="12"/>
        <w:numPr>
          <w:ilvl w:val="0"/>
          <w:numId w:val="3"/>
        </w:numPr>
        <w:ind w:firstLineChars="0"/>
        <w:rPr>
          <w:rFonts w:ascii="楷体" w:hAnsi="楷体" w:eastAsia="楷体"/>
          <w:szCs w:val="21"/>
        </w:rPr>
      </w:pPr>
      <w:r>
        <w:rPr>
          <w:rFonts w:hint="eastAsia" w:ascii="楷体" w:hAnsi="楷体" w:eastAsia="楷体"/>
          <w:b/>
          <w:szCs w:val="21"/>
        </w:rPr>
        <w:t>受理终端</w:t>
      </w:r>
      <w:r>
        <w:rPr>
          <w:rFonts w:hint="eastAsia" w:ascii="楷体" w:hAnsi="楷体" w:eastAsia="楷体"/>
          <w:szCs w:val="21"/>
        </w:rPr>
        <w:t>：是指布放在特约商户经营场所，用以与持卡人交互，实现甲方收款信息向乙方传输的设备，包括但不限于智能受理终端机具、台牌、扫码枪等。</w:t>
      </w:r>
    </w:p>
    <w:p>
      <w:pPr>
        <w:pStyle w:val="12"/>
        <w:numPr>
          <w:ilvl w:val="0"/>
          <w:numId w:val="3"/>
        </w:numPr>
        <w:ind w:firstLineChars="0"/>
        <w:rPr>
          <w:rFonts w:ascii="楷体" w:hAnsi="楷体" w:eastAsia="楷体"/>
          <w:szCs w:val="21"/>
        </w:rPr>
      </w:pPr>
      <w:r>
        <w:rPr>
          <w:rFonts w:hint="eastAsia" w:ascii="楷体" w:hAnsi="楷体" w:eastAsia="楷体"/>
          <w:b/>
          <w:szCs w:val="21"/>
        </w:rPr>
        <w:t>调单：</w:t>
      </w:r>
      <w:r>
        <w:rPr>
          <w:rFonts w:hint="eastAsia" w:ascii="楷体" w:hAnsi="楷体" w:eastAsia="楷体"/>
          <w:szCs w:val="21"/>
        </w:rPr>
        <w:t>指因持卡人或发卡机构对已经被清算的交易有疑问，在规定时间内发卡机构向收单机构（本协议项下即乙方，下同）提出调阅交易单据的过程，其目的在于确认消费，或进行责任划分。调单时限期满180天(即自交易发生之日起算180天)，满足退单条件的交易，发卡机构可能退单。</w:t>
      </w:r>
    </w:p>
    <w:p>
      <w:pPr>
        <w:pStyle w:val="12"/>
        <w:numPr>
          <w:ilvl w:val="0"/>
          <w:numId w:val="3"/>
        </w:numPr>
        <w:ind w:firstLineChars="0"/>
        <w:rPr>
          <w:rFonts w:ascii="楷体" w:hAnsi="楷体" w:eastAsia="楷体"/>
          <w:szCs w:val="21"/>
        </w:rPr>
      </w:pPr>
      <w:r>
        <w:rPr>
          <w:rFonts w:hint="eastAsia" w:ascii="楷体" w:hAnsi="楷体" w:eastAsia="楷体"/>
          <w:b/>
          <w:szCs w:val="21"/>
        </w:rPr>
        <w:t>退单：</w:t>
      </w:r>
      <w:r>
        <w:rPr>
          <w:rFonts w:hint="eastAsia" w:ascii="楷体" w:hAnsi="楷体" w:eastAsia="楷体"/>
          <w:szCs w:val="21"/>
        </w:rPr>
        <w:t>指发卡机构由于对收单机构请款交易的拒绝或对原始交易的疑问而向收单机构提出的拒绝付款，包括一次退单和二次退单。二次退单是指发卡机构对收单机构提交的消费类再请款交易有异议而向收单机构再次提出的拒绝付款。</w:t>
      </w:r>
    </w:p>
    <w:p>
      <w:pPr>
        <w:pStyle w:val="12"/>
        <w:numPr>
          <w:ilvl w:val="0"/>
          <w:numId w:val="3"/>
        </w:numPr>
        <w:ind w:firstLineChars="0"/>
        <w:rPr>
          <w:rFonts w:ascii="楷体" w:hAnsi="楷体" w:eastAsia="楷体"/>
          <w:szCs w:val="21"/>
        </w:rPr>
      </w:pPr>
      <w:r>
        <w:rPr>
          <w:rFonts w:hint="eastAsia" w:ascii="楷体" w:hAnsi="楷体" w:eastAsia="楷体"/>
          <w:b/>
          <w:szCs w:val="21"/>
        </w:rPr>
        <w:t>先行赔付：</w:t>
      </w:r>
      <w:r>
        <w:rPr>
          <w:rFonts w:hint="eastAsia" w:ascii="楷体" w:hAnsi="楷体" w:eastAsia="楷体"/>
          <w:szCs w:val="21"/>
        </w:rPr>
        <w:t>是指在约定的赔付时效内，商业银行或支付机构(本协议特指乙方)不能有效证明因客户原因导致的资金损失，由商业银行或其委托的支付机构对客户进行资金赔付的行为。</w:t>
      </w:r>
    </w:p>
    <w:p>
      <w:pPr>
        <w:pStyle w:val="12"/>
        <w:numPr>
          <w:ilvl w:val="0"/>
          <w:numId w:val="3"/>
        </w:numPr>
        <w:ind w:firstLineChars="0"/>
        <w:rPr>
          <w:rFonts w:ascii="楷体" w:hAnsi="楷体" w:eastAsia="楷体"/>
          <w:szCs w:val="21"/>
        </w:rPr>
      </w:pPr>
      <w:r>
        <w:rPr>
          <w:rFonts w:hint="eastAsia" w:ascii="楷体" w:hAnsi="楷体" w:eastAsia="楷体"/>
          <w:b/>
          <w:szCs w:val="21"/>
        </w:rPr>
        <w:t>异常交易：</w:t>
      </w:r>
      <w:r>
        <w:rPr>
          <w:rFonts w:hint="eastAsia" w:ascii="楷体" w:hAnsi="楷体" w:eastAsia="楷体"/>
          <w:szCs w:val="21"/>
        </w:rPr>
        <w:t>指甲方使用乙方支付服务或</w:t>
      </w:r>
      <w:r>
        <w:rPr>
          <w:rFonts w:ascii="楷体" w:hAnsi="楷体" w:eastAsia="楷体"/>
          <w:szCs w:val="21"/>
        </w:rPr>
        <w:t>在使用</w:t>
      </w:r>
      <w:r>
        <w:rPr>
          <w:rFonts w:hint="eastAsia" w:ascii="楷体" w:hAnsi="楷体" w:eastAsia="楷体"/>
          <w:szCs w:val="21"/>
        </w:rPr>
        <w:t>乙方</w:t>
      </w:r>
      <w:r>
        <w:rPr>
          <w:rFonts w:ascii="楷体" w:hAnsi="楷体" w:eastAsia="楷体"/>
          <w:szCs w:val="21"/>
        </w:rPr>
        <w:t>支付服务中</w:t>
      </w:r>
      <w:r>
        <w:rPr>
          <w:rFonts w:hint="eastAsia" w:ascii="楷体" w:hAnsi="楷体" w:eastAsia="楷体"/>
          <w:szCs w:val="21"/>
        </w:rPr>
        <w:t>所发生的以下</w:t>
      </w:r>
      <w:r>
        <w:rPr>
          <w:rFonts w:ascii="楷体" w:hAnsi="楷体" w:eastAsia="楷体"/>
          <w:szCs w:val="21"/>
        </w:rPr>
        <w:t>任意一种交易或行为：</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虚假申请：以虚假、陈旧、不实的资料或盗用其他商户资料，规避乙方的特约商户实名制管理和商户资质审核措施，向乙方申请为特约商户；</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泄漏账户及交易信息:甲方违反信息保密义务, 致使</w:t>
      </w:r>
      <w:r>
        <w:rPr>
          <w:rFonts w:ascii="楷体" w:hAnsi="楷体" w:eastAsia="楷体"/>
          <w:szCs w:val="21"/>
        </w:rPr>
        <w:t>客户银行卡账户</w:t>
      </w:r>
      <w:r>
        <w:rPr>
          <w:rFonts w:hint="eastAsia" w:ascii="楷体" w:hAnsi="楷体" w:eastAsia="楷体"/>
          <w:szCs w:val="21"/>
        </w:rPr>
        <w:t>信息、</w:t>
      </w:r>
      <w:r>
        <w:rPr>
          <w:rFonts w:ascii="楷体" w:hAnsi="楷体" w:eastAsia="楷体"/>
          <w:szCs w:val="21"/>
        </w:rPr>
        <w:t>交易信息泄露或</w:t>
      </w:r>
      <w:r>
        <w:rPr>
          <w:rFonts w:hint="eastAsia" w:ascii="楷体" w:hAnsi="楷体" w:eastAsia="楷体"/>
          <w:szCs w:val="21"/>
        </w:rPr>
        <w:t>产生</w:t>
      </w:r>
      <w:r>
        <w:rPr>
          <w:rFonts w:ascii="楷体" w:hAnsi="楷体" w:eastAsia="楷体"/>
          <w:szCs w:val="21"/>
        </w:rPr>
        <w:t>泄露风险的</w:t>
      </w:r>
      <w:r>
        <w:rPr>
          <w:rFonts w:hint="eastAsia" w:ascii="楷体" w:hAnsi="楷体" w:eastAsia="楷体"/>
          <w:szCs w:val="21"/>
        </w:rPr>
        <w:t>；</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套现(积分): 甲方自身或与他人共谋，以虚假交易、虚开价格、现金退货等方式套取现金(积分)；</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洗单:甲方将其他未签约商户的交易在甲方</w:t>
      </w:r>
      <w:r>
        <w:rPr>
          <w:rFonts w:ascii="楷体" w:hAnsi="楷体" w:eastAsia="楷体"/>
          <w:szCs w:val="21"/>
        </w:rPr>
        <w:t>进行交易</w:t>
      </w:r>
      <w:r>
        <w:rPr>
          <w:rFonts w:hint="eastAsia" w:ascii="楷体" w:hAnsi="楷体" w:eastAsia="楷体"/>
          <w:szCs w:val="21"/>
        </w:rPr>
        <w:t>,假冒甲方的交易与乙方清算；</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盗刷：假冒真实持卡人身份或更改银行卡信息后进行欺诈交易，包括变更账户信息后交易、手输卡号交易或非面对面交易；</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恶意倒闭:甲方接受持卡人</w:t>
      </w:r>
      <w:r>
        <w:rPr>
          <w:rFonts w:ascii="楷体" w:hAnsi="楷体" w:eastAsia="楷体"/>
          <w:szCs w:val="21"/>
        </w:rPr>
        <w:t>（客户）</w:t>
      </w:r>
      <w:r>
        <w:rPr>
          <w:rFonts w:hint="eastAsia" w:ascii="楷体" w:hAnsi="楷体" w:eastAsia="楷体"/>
          <w:szCs w:val="21"/>
        </w:rPr>
        <w:t>银行卡（</w:t>
      </w:r>
      <w:r>
        <w:rPr>
          <w:rFonts w:ascii="楷体" w:hAnsi="楷体" w:eastAsia="楷体"/>
          <w:szCs w:val="21"/>
        </w:rPr>
        <w:t>账户）支付</w:t>
      </w:r>
      <w:r>
        <w:rPr>
          <w:rFonts w:hint="eastAsia" w:ascii="楷体" w:hAnsi="楷体" w:eastAsia="楷体"/>
          <w:szCs w:val="21"/>
        </w:rPr>
        <w:t>预付款后故意破产,使他方承担退单损失；</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恶意拒付</w:t>
      </w:r>
      <w:r>
        <w:rPr>
          <w:rFonts w:ascii="楷体" w:hAnsi="楷体" w:eastAsia="楷体"/>
          <w:szCs w:val="21"/>
        </w:rPr>
        <w:t>：</w:t>
      </w:r>
      <w:r>
        <w:rPr>
          <w:rFonts w:hint="eastAsia" w:ascii="楷体" w:hAnsi="楷体" w:eastAsia="楷体"/>
          <w:szCs w:val="21"/>
        </w:rPr>
        <w:t>包括</w:t>
      </w:r>
      <w:r>
        <w:rPr>
          <w:rFonts w:ascii="楷体" w:hAnsi="楷体" w:eastAsia="楷体"/>
          <w:szCs w:val="21"/>
        </w:rPr>
        <w:t>但不限于</w:t>
      </w:r>
      <w:r>
        <w:rPr>
          <w:rFonts w:hint="eastAsia" w:ascii="楷体" w:hAnsi="楷体" w:eastAsia="楷体"/>
          <w:szCs w:val="21"/>
        </w:rPr>
        <w:t>商户与</w:t>
      </w:r>
      <w:r>
        <w:rPr>
          <w:rFonts w:ascii="楷体" w:hAnsi="楷体" w:eastAsia="楷体"/>
          <w:szCs w:val="21"/>
        </w:rPr>
        <w:t>持卡人合谋</w:t>
      </w:r>
      <w:r>
        <w:rPr>
          <w:rFonts w:hint="eastAsia" w:ascii="楷体" w:hAnsi="楷体" w:eastAsia="楷体"/>
          <w:szCs w:val="21"/>
        </w:rPr>
        <w:t>，</w:t>
      </w:r>
      <w:r>
        <w:rPr>
          <w:rFonts w:ascii="楷体" w:hAnsi="楷体" w:eastAsia="楷体"/>
          <w:szCs w:val="21"/>
        </w:rPr>
        <w:t>或商户</w:t>
      </w:r>
      <w:r>
        <w:rPr>
          <w:rFonts w:hint="eastAsia" w:ascii="楷体" w:hAnsi="楷体" w:eastAsia="楷体"/>
          <w:szCs w:val="21"/>
        </w:rPr>
        <w:t>未能</w:t>
      </w:r>
      <w:r>
        <w:rPr>
          <w:rFonts w:ascii="楷体" w:hAnsi="楷体" w:eastAsia="楷体"/>
          <w:szCs w:val="21"/>
        </w:rPr>
        <w:t>有效管理</w:t>
      </w:r>
      <w:r>
        <w:rPr>
          <w:rFonts w:hint="eastAsia" w:ascii="楷体" w:hAnsi="楷体" w:eastAsia="楷体"/>
          <w:szCs w:val="21"/>
        </w:rPr>
        <w:t>甲方公众号，</w:t>
      </w:r>
      <w:r>
        <w:rPr>
          <w:rFonts w:ascii="楷体" w:hAnsi="楷体" w:eastAsia="楷体"/>
          <w:szCs w:val="21"/>
        </w:rPr>
        <w:t>被</w:t>
      </w:r>
      <w:r>
        <w:rPr>
          <w:rFonts w:hint="eastAsia" w:ascii="楷体" w:hAnsi="楷体" w:eastAsia="楷体"/>
          <w:szCs w:val="21"/>
        </w:rPr>
        <w:t>持卡人</w:t>
      </w:r>
      <w:r>
        <w:rPr>
          <w:rFonts w:ascii="楷体" w:hAnsi="楷体" w:eastAsia="楷体"/>
          <w:szCs w:val="21"/>
        </w:rPr>
        <w:t>利用</w:t>
      </w:r>
      <w:r>
        <w:rPr>
          <w:rFonts w:hint="eastAsia" w:ascii="楷体" w:hAnsi="楷体" w:eastAsia="楷体"/>
          <w:szCs w:val="21"/>
        </w:rPr>
        <w:t>进行</w:t>
      </w:r>
      <w:r>
        <w:rPr>
          <w:rFonts w:ascii="楷体" w:hAnsi="楷体" w:eastAsia="楷体"/>
          <w:szCs w:val="21"/>
        </w:rPr>
        <w:t>恶意拒付的行为</w:t>
      </w:r>
      <w:r>
        <w:rPr>
          <w:rFonts w:hint="eastAsia" w:ascii="楷体" w:hAnsi="楷体" w:eastAsia="楷体"/>
          <w:szCs w:val="21"/>
        </w:rPr>
        <w:t>；</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经营不善</w:t>
      </w:r>
      <w:r>
        <w:rPr>
          <w:rFonts w:ascii="楷体" w:hAnsi="楷体" w:eastAsia="楷体"/>
          <w:szCs w:val="21"/>
        </w:rPr>
        <w:t>：</w:t>
      </w:r>
      <w:r>
        <w:rPr>
          <w:rFonts w:hint="eastAsia" w:ascii="楷体" w:hAnsi="楷体" w:eastAsia="楷体"/>
          <w:szCs w:val="21"/>
        </w:rPr>
        <w:t>甲方停业整顿、申请解散、申请破产或已经停业、破产；甲方被工商部门注销登记、吊销营业执照，由于违法被国家机关查处；</w:t>
      </w:r>
    </w:p>
    <w:p>
      <w:pPr>
        <w:pStyle w:val="12"/>
        <w:numPr>
          <w:ilvl w:val="0"/>
          <w:numId w:val="4"/>
        </w:numPr>
        <w:adjustRightInd w:val="0"/>
        <w:snapToGrid w:val="0"/>
        <w:ind w:firstLineChars="0"/>
        <w:rPr>
          <w:rFonts w:ascii="楷体" w:hAnsi="楷体" w:eastAsia="楷体"/>
          <w:szCs w:val="21"/>
        </w:rPr>
      </w:pPr>
      <w:r>
        <w:rPr>
          <w:rFonts w:hint="eastAsia" w:ascii="楷体" w:hAnsi="楷体" w:eastAsia="楷体"/>
          <w:szCs w:val="21"/>
        </w:rPr>
        <w:t>其他：其他违反监管机构、各发卡组织、各</w:t>
      </w:r>
      <w:r>
        <w:rPr>
          <w:rFonts w:ascii="楷体" w:hAnsi="楷体" w:eastAsia="楷体"/>
          <w:szCs w:val="21"/>
        </w:rPr>
        <w:t>清算机构、</w:t>
      </w:r>
      <w:r>
        <w:rPr>
          <w:rFonts w:hint="eastAsia" w:ascii="楷体" w:hAnsi="楷体" w:eastAsia="楷体"/>
          <w:szCs w:val="21"/>
        </w:rPr>
        <w:t>各商业银行关于商户风险管理规定的行为。</w:t>
      </w:r>
    </w:p>
    <w:p>
      <w:pPr>
        <w:pStyle w:val="12"/>
        <w:numPr>
          <w:ilvl w:val="0"/>
          <w:numId w:val="3"/>
        </w:numPr>
        <w:ind w:firstLineChars="0"/>
        <w:rPr>
          <w:rFonts w:ascii="楷体" w:hAnsi="楷体" w:eastAsia="楷体"/>
          <w:szCs w:val="21"/>
        </w:rPr>
      </w:pPr>
      <w:r>
        <w:rPr>
          <w:rFonts w:hint="eastAsia" w:ascii="楷体" w:hAnsi="楷体" w:eastAsia="楷体"/>
          <w:b/>
          <w:szCs w:val="21"/>
        </w:rPr>
        <w:t>监管</w:t>
      </w:r>
      <w:r>
        <w:rPr>
          <w:rFonts w:ascii="楷体" w:hAnsi="楷体" w:eastAsia="楷体"/>
          <w:b/>
          <w:szCs w:val="21"/>
        </w:rPr>
        <w:t>机构</w:t>
      </w:r>
      <w:r>
        <w:rPr>
          <w:rFonts w:ascii="楷体" w:hAnsi="楷体" w:eastAsia="楷体"/>
          <w:szCs w:val="21"/>
        </w:rPr>
        <w:t>：</w:t>
      </w:r>
      <w:r>
        <w:rPr>
          <w:rFonts w:hint="eastAsia" w:ascii="楷体" w:hAnsi="楷体" w:eastAsia="楷体"/>
          <w:szCs w:val="21"/>
        </w:rPr>
        <w:t>在中华人民共和国、甲方注册地或经营所在地、交易发生地就本协议</w:t>
      </w:r>
      <w:r>
        <w:rPr>
          <w:rFonts w:ascii="楷体" w:hAnsi="楷体" w:eastAsia="楷体"/>
          <w:szCs w:val="21"/>
        </w:rPr>
        <w:t>相关</w:t>
      </w:r>
      <w:r>
        <w:rPr>
          <w:rFonts w:hint="eastAsia" w:ascii="楷体" w:hAnsi="楷体" w:eastAsia="楷体"/>
          <w:szCs w:val="21"/>
        </w:rPr>
        <w:t>业务，履行监管职责的国家机关或非国家机关性质的机构或组织。</w:t>
      </w:r>
    </w:p>
    <w:p>
      <w:pPr>
        <w:pStyle w:val="12"/>
        <w:numPr>
          <w:ilvl w:val="0"/>
          <w:numId w:val="3"/>
        </w:numPr>
        <w:ind w:firstLineChars="0"/>
        <w:rPr>
          <w:rFonts w:ascii="楷体" w:hAnsi="楷体" w:eastAsia="楷体"/>
          <w:szCs w:val="21"/>
        </w:rPr>
      </w:pPr>
      <w:r>
        <w:rPr>
          <w:rFonts w:hint="eastAsia" w:ascii="楷体" w:hAnsi="楷体" w:eastAsia="楷体"/>
          <w:b/>
          <w:szCs w:val="21"/>
        </w:rPr>
        <w:t>T日</w:t>
      </w:r>
      <w:r>
        <w:rPr>
          <w:rFonts w:ascii="楷体" w:hAnsi="楷体" w:eastAsia="楷体"/>
          <w:b/>
          <w:szCs w:val="21"/>
        </w:rPr>
        <w:t>：</w:t>
      </w:r>
      <w:r>
        <w:rPr>
          <w:rFonts w:ascii="楷体" w:hAnsi="楷体" w:eastAsia="楷体"/>
          <w:szCs w:val="21"/>
        </w:rPr>
        <w:t>即交易发生日</w:t>
      </w:r>
      <w:r>
        <w:rPr>
          <w:rFonts w:hint="eastAsia" w:ascii="楷体" w:hAnsi="楷体" w:eastAsia="楷体"/>
          <w:szCs w:val="21"/>
        </w:rPr>
        <w:t>；</w:t>
      </w:r>
      <w:r>
        <w:rPr>
          <w:rFonts w:hint="eastAsia" w:ascii="楷体" w:hAnsi="楷体" w:eastAsia="楷体"/>
          <w:bCs/>
          <w:szCs w:val="21"/>
        </w:rPr>
        <w:t>T+1日</w:t>
      </w:r>
      <w:r>
        <w:rPr>
          <w:rFonts w:hint="eastAsia" w:ascii="楷体" w:hAnsi="楷体" w:eastAsia="楷体"/>
          <w:szCs w:val="21"/>
        </w:rPr>
        <w:t>，即交易发生的下一个工作日；以上均以中国北京时间为准。</w:t>
      </w:r>
    </w:p>
    <w:p>
      <w:pPr>
        <w:pStyle w:val="12"/>
        <w:numPr>
          <w:ilvl w:val="0"/>
          <w:numId w:val="3"/>
        </w:numPr>
        <w:ind w:firstLineChars="0"/>
        <w:rPr>
          <w:rFonts w:ascii="楷体" w:hAnsi="楷体" w:eastAsia="楷体"/>
          <w:szCs w:val="21"/>
        </w:rPr>
      </w:pPr>
      <w:r>
        <w:rPr>
          <w:rFonts w:ascii="楷体" w:hAnsi="楷体" w:eastAsia="楷体"/>
          <w:b/>
          <w:szCs w:val="21"/>
        </w:rPr>
        <w:t>D</w:t>
      </w:r>
      <w:r>
        <w:rPr>
          <w:rFonts w:hint="eastAsia" w:ascii="楷体" w:hAnsi="楷体" w:eastAsia="楷体"/>
          <w:b/>
          <w:szCs w:val="21"/>
        </w:rPr>
        <w:t>+</w:t>
      </w:r>
      <w:r>
        <w:rPr>
          <w:rFonts w:ascii="楷体" w:hAnsi="楷体" w:eastAsia="楷体"/>
          <w:b/>
          <w:szCs w:val="21"/>
        </w:rPr>
        <w:t>0日</w:t>
      </w:r>
      <w:r>
        <w:rPr>
          <w:rFonts w:hint="eastAsia" w:ascii="楷体" w:hAnsi="楷体" w:eastAsia="楷体"/>
          <w:b/>
          <w:szCs w:val="21"/>
        </w:rPr>
        <w:t>：</w:t>
      </w:r>
      <w:r>
        <w:rPr>
          <w:rFonts w:ascii="楷体" w:hAnsi="楷体" w:eastAsia="楷体"/>
          <w:szCs w:val="21"/>
        </w:rPr>
        <w:t>即自然日</w:t>
      </w:r>
      <w:r>
        <w:rPr>
          <w:rFonts w:hint="eastAsia" w:ascii="楷体" w:hAnsi="楷体" w:eastAsia="楷体"/>
          <w:szCs w:val="21"/>
        </w:rPr>
        <w:t>；D+</w:t>
      </w:r>
      <w:r>
        <w:rPr>
          <w:rFonts w:ascii="楷体" w:hAnsi="楷体" w:eastAsia="楷体"/>
          <w:szCs w:val="21"/>
        </w:rPr>
        <w:t>1日</w:t>
      </w:r>
      <w:r>
        <w:rPr>
          <w:rFonts w:hint="eastAsia" w:ascii="楷体" w:hAnsi="楷体" w:eastAsia="楷体"/>
          <w:szCs w:val="21"/>
        </w:rPr>
        <w:t>，</w:t>
      </w:r>
      <w:r>
        <w:rPr>
          <w:rFonts w:ascii="楷体" w:hAnsi="楷体" w:eastAsia="楷体"/>
          <w:szCs w:val="21"/>
        </w:rPr>
        <w:t>即交易发生的下一个自然日</w:t>
      </w:r>
      <w:r>
        <w:rPr>
          <w:rFonts w:hint="eastAsia" w:ascii="楷体" w:hAnsi="楷体" w:eastAsia="楷体"/>
          <w:szCs w:val="21"/>
        </w:rPr>
        <w:t>；</w:t>
      </w:r>
      <w:bookmarkStart w:id="1" w:name="OLE_LINK21"/>
      <w:bookmarkStart w:id="2" w:name="OLE_LINK20"/>
      <w:r>
        <w:rPr>
          <w:rFonts w:hint="eastAsia" w:ascii="楷体" w:hAnsi="楷体" w:eastAsia="楷体"/>
          <w:szCs w:val="21"/>
        </w:rPr>
        <w:t>自定义时间：目前分为三档，交易发生时间分别为</w:t>
      </w:r>
      <w:bookmarkStart w:id="3" w:name="OLE_LINK3"/>
      <w:r>
        <w:rPr>
          <w:rFonts w:hint="eastAsia" w:ascii="楷体" w:hAnsi="楷体" w:eastAsia="楷体"/>
          <w:szCs w:val="21"/>
        </w:rPr>
        <w:t>3:00至次日3:0</w:t>
      </w:r>
      <w:r>
        <w:rPr>
          <w:rFonts w:ascii="楷体" w:hAnsi="楷体" w:eastAsia="楷体"/>
          <w:szCs w:val="21"/>
        </w:rPr>
        <w:t>0</w:t>
      </w:r>
      <w:bookmarkEnd w:id="3"/>
      <w:r>
        <w:rPr>
          <w:rFonts w:hint="eastAsia" w:ascii="楷体" w:hAnsi="楷体" w:eastAsia="楷体"/>
          <w:szCs w:val="21"/>
        </w:rPr>
        <w:t>、6:0</w:t>
      </w:r>
      <w:r>
        <w:rPr>
          <w:rFonts w:ascii="楷体" w:hAnsi="楷体" w:eastAsia="楷体"/>
          <w:szCs w:val="21"/>
        </w:rPr>
        <w:t>0至次日</w:t>
      </w:r>
      <w:r>
        <w:rPr>
          <w:rFonts w:hint="eastAsia" w:ascii="楷体" w:hAnsi="楷体" w:eastAsia="楷体"/>
          <w:szCs w:val="21"/>
        </w:rPr>
        <w:t>6:00、9:0</w:t>
      </w:r>
      <w:r>
        <w:rPr>
          <w:rFonts w:ascii="楷体" w:hAnsi="楷体" w:eastAsia="楷体"/>
          <w:szCs w:val="21"/>
        </w:rPr>
        <w:t>0至次日</w:t>
      </w:r>
      <w:r>
        <w:rPr>
          <w:rFonts w:hint="eastAsia" w:ascii="楷体" w:hAnsi="楷体" w:eastAsia="楷体"/>
          <w:szCs w:val="21"/>
        </w:rPr>
        <w:t>9:0</w:t>
      </w:r>
      <w:r>
        <w:rPr>
          <w:rFonts w:ascii="楷体" w:hAnsi="楷体" w:eastAsia="楷体"/>
          <w:szCs w:val="21"/>
        </w:rPr>
        <w:t>0</w:t>
      </w:r>
      <w:r>
        <w:rPr>
          <w:rFonts w:hint="eastAsia" w:ascii="楷体" w:hAnsi="楷体" w:eastAsia="楷体"/>
          <w:szCs w:val="21"/>
        </w:rPr>
        <w:t>。</w:t>
      </w:r>
      <w:bookmarkEnd w:id="1"/>
      <w:bookmarkEnd w:id="2"/>
      <w:r>
        <w:rPr>
          <w:rFonts w:hint="eastAsia" w:ascii="楷体" w:hAnsi="楷体" w:eastAsia="楷体"/>
          <w:szCs w:val="21"/>
        </w:rPr>
        <w:t>以上均以中国北京时间为准。</w:t>
      </w:r>
    </w:p>
    <w:p>
      <w:pPr>
        <w:pStyle w:val="12"/>
        <w:numPr>
          <w:ilvl w:val="0"/>
          <w:numId w:val="3"/>
        </w:numPr>
        <w:ind w:firstLineChars="0"/>
        <w:rPr>
          <w:rFonts w:ascii="楷体" w:hAnsi="楷体" w:eastAsia="楷体"/>
          <w:szCs w:val="21"/>
        </w:rPr>
      </w:pPr>
      <w:r>
        <w:rPr>
          <w:rFonts w:hint="eastAsia" w:ascii="楷体" w:hAnsi="楷体" w:eastAsia="楷体"/>
          <w:b/>
          <w:szCs w:val="21"/>
        </w:rPr>
        <w:t>乙方损失</w:t>
      </w:r>
      <w:r>
        <w:rPr>
          <w:rFonts w:hint="eastAsia" w:ascii="楷体" w:hAnsi="楷体" w:eastAsia="楷体"/>
          <w:szCs w:val="21"/>
        </w:rPr>
        <w:t>：本协议项下指因甲方违法违规或违反本协议项下约定给乙方造成的损失，包括但不限于因异常交易产生的乙方向持卡人先行赔付、乙方受银联追偿性清算、监管机构处罚、发卡行退单等造成</w:t>
      </w:r>
      <w:r>
        <w:rPr>
          <w:rFonts w:ascii="楷体" w:hAnsi="楷体" w:eastAsia="楷体"/>
          <w:szCs w:val="21"/>
        </w:rPr>
        <w:t>的损失</w:t>
      </w:r>
      <w:r>
        <w:rPr>
          <w:rFonts w:hint="eastAsia" w:ascii="楷体" w:hAnsi="楷体" w:eastAsia="楷体"/>
          <w:szCs w:val="21"/>
        </w:rPr>
        <w:t>。</w:t>
      </w:r>
    </w:p>
    <w:p>
      <w:pPr>
        <w:rPr>
          <w:rFonts w:ascii="楷体" w:hAnsi="楷体" w:eastAsia="楷体"/>
          <w:b/>
          <w:szCs w:val="21"/>
        </w:rPr>
      </w:pPr>
    </w:p>
    <w:p>
      <w:pPr>
        <w:pStyle w:val="12"/>
        <w:numPr>
          <w:ilvl w:val="0"/>
          <w:numId w:val="2"/>
        </w:numPr>
        <w:ind w:firstLineChars="0"/>
        <w:jc w:val="center"/>
        <w:rPr>
          <w:rFonts w:ascii="楷体" w:hAnsi="楷体" w:eastAsia="楷体"/>
          <w:b/>
          <w:szCs w:val="21"/>
        </w:rPr>
      </w:pPr>
      <w:r>
        <w:rPr>
          <w:rFonts w:hint="eastAsia" w:ascii="楷体" w:hAnsi="楷体" w:eastAsia="楷体"/>
          <w:b/>
          <w:szCs w:val="21"/>
        </w:rPr>
        <w:t>通用</w:t>
      </w:r>
      <w:r>
        <w:rPr>
          <w:rFonts w:ascii="楷体" w:hAnsi="楷体" w:eastAsia="楷体"/>
          <w:b/>
          <w:szCs w:val="21"/>
        </w:rPr>
        <w:t>条款</w:t>
      </w:r>
    </w:p>
    <w:p>
      <w:pPr>
        <w:pStyle w:val="12"/>
        <w:numPr>
          <w:ilvl w:val="0"/>
          <w:numId w:val="5"/>
        </w:numPr>
        <w:ind w:firstLineChars="0"/>
        <w:rPr>
          <w:rFonts w:ascii="楷体" w:hAnsi="楷体" w:eastAsia="楷体"/>
          <w:b/>
          <w:szCs w:val="21"/>
        </w:rPr>
      </w:pPr>
      <w:r>
        <w:rPr>
          <w:rFonts w:hint="eastAsia" w:ascii="楷体" w:hAnsi="楷体" w:eastAsia="楷体"/>
          <w:b/>
          <w:szCs w:val="21"/>
        </w:rPr>
        <w:t>甲方</w:t>
      </w:r>
      <w:r>
        <w:rPr>
          <w:rFonts w:ascii="楷体" w:hAnsi="楷体" w:eastAsia="楷体"/>
          <w:b/>
          <w:szCs w:val="21"/>
        </w:rPr>
        <w:t>权利与义务</w:t>
      </w:r>
    </w:p>
    <w:p>
      <w:pPr>
        <w:pStyle w:val="12"/>
        <w:numPr>
          <w:ilvl w:val="0"/>
          <w:numId w:val="6"/>
        </w:numPr>
        <w:ind w:firstLineChars="0"/>
        <w:rPr>
          <w:rFonts w:ascii="楷体" w:hAnsi="楷体" w:eastAsia="楷体"/>
          <w:szCs w:val="21"/>
        </w:rPr>
      </w:pPr>
      <w:r>
        <w:rPr>
          <w:rFonts w:hint="eastAsia" w:ascii="楷体" w:hAnsi="楷体" w:eastAsia="楷体"/>
          <w:b/>
          <w:szCs w:val="21"/>
        </w:rPr>
        <w:t>甲方应当严格遵守国家法律、法规及有关部门的规定，具备从事相关业务的资质条件，依法办理相应行政许可或备案，并遵守以下经营义务</w:t>
      </w:r>
      <w:r>
        <w:rPr>
          <w:rFonts w:hint="eastAsia" w:ascii="楷体" w:hAnsi="楷体" w:eastAsia="楷体"/>
          <w:szCs w:val="21"/>
        </w:rPr>
        <w:t>：</w:t>
      </w:r>
    </w:p>
    <w:p>
      <w:pPr>
        <w:pStyle w:val="12"/>
        <w:numPr>
          <w:ilvl w:val="0"/>
          <w:numId w:val="7"/>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应制定购买商品或服务的相关业务流程，在接受客户交易请求前与客户明确商品或服务的交付方式、交付地点、交付时间等重要内容，并向客户明确退货政策、客户投诉渠道以及异常交易处理流程。上述内容均应通过甲方经营实体或经营</w:t>
      </w:r>
      <w:r>
        <w:rPr>
          <w:rFonts w:ascii="楷体" w:hAnsi="楷体" w:eastAsia="楷体" w:cs="宋体"/>
          <w:kern w:val="0"/>
          <w:szCs w:val="21"/>
        </w:rPr>
        <w:t>网站或</w:t>
      </w:r>
      <w:r>
        <w:rPr>
          <w:rFonts w:hint="eastAsia" w:ascii="楷体" w:hAnsi="楷体" w:eastAsia="楷体" w:cs="宋体"/>
          <w:kern w:val="0"/>
          <w:szCs w:val="21"/>
        </w:rPr>
        <w:t>其他任何形式告知客户；</w:t>
      </w:r>
    </w:p>
    <w:p>
      <w:pPr>
        <w:pStyle w:val="12"/>
        <w:numPr>
          <w:ilvl w:val="0"/>
          <w:numId w:val="7"/>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甲方收到成功收款信息后，应及时向客户提供相应的商品或服务。如甲方未能按约提供商品或服务的，应及时退款并确保资金原路退回。</w:t>
      </w:r>
    </w:p>
    <w:p>
      <w:pPr>
        <w:pStyle w:val="12"/>
        <w:numPr>
          <w:ilvl w:val="0"/>
          <w:numId w:val="7"/>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甲方负责及时处理因其提供</w:t>
      </w:r>
      <w:r>
        <w:rPr>
          <w:rFonts w:ascii="楷体" w:hAnsi="楷体" w:eastAsia="楷体" w:cs="宋体"/>
          <w:kern w:val="0"/>
          <w:szCs w:val="21"/>
        </w:rPr>
        <w:t>的</w:t>
      </w:r>
      <w:r>
        <w:rPr>
          <w:rFonts w:hint="eastAsia" w:ascii="楷体" w:hAnsi="楷体" w:eastAsia="楷体" w:cs="宋体"/>
          <w:kern w:val="0"/>
          <w:szCs w:val="21"/>
        </w:rPr>
        <w:t>商品</w:t>
      </w:r>
      <w:r>
        <w:rPr>
          <w:rFonts w:ascii="楷体" w:hAnsi="楷体" w:eastAsia="楷体" w:cs="宋体"/>
          <w:kern w:val="0"/>
          <w:szCs w:val="21"/>
        </w:rPr>
        <w:t>或服务</w:t>
      </w:r>
      <w:r>
        <w:rPr>
          <w:rFonts w:hint="eastAsia" w:ascii="楷体" w:hAnsi="楷体" w:eastAsia="楷体" w:cs="宋体"/>
          <w:kern w:val="0"/>
          <w:szCs w:val="21"/>
        </w:rPr>
        <w:t>瑕疵、网站信息或内容虚假等造成的投诉、退货等客户纠纷，并承担全部法律责任。如因上述原因导致乙方损失的，甲方应向乙方全额赔偿。</w:t>
      </w:r>
    </w:p>
    <w:p>
      <w:pPr>
        <w:pStyle w:val="12"/>
        <w:numPr>
          <w:ilvl w:val="0"/>
          <w:numId w:val="6"/>
        </w:numPr>
        <w:ind w:firstLineChars="0"/>
        <w:rPr>
          <w:rFonts w:ascii="楷体" w:hAnsi="楷体" w:eastAsia="楷体"/>
          <w:szCs w:val="21"/>
        </w:rPr>
      </w:pPr>
      <w:r>
        <w:rPr>
          <w:rFonts w:hint="eastAsia" w:ascii="楷体" w:hAnsi="楷体" w:eastAsia="楷体"/>
          <w:b/>
          <w:szCs w:val="21"/>
        </w:rPr>
        <w:t>甲方在向</w:t>
      </w:r>
      <w:r>
        <w:rPr>
          <w:rFonts w:ascii="楷体" w:hAnsi="楷体" w:eastAsia="楷体"/>
          <w:b/>
          <w:szCs w:val="21"/>
        </w:rPr>
        <w:t>乙方</w:t>
      </w:r>
      <w:r>
        <w:rPr>
          <w:rFonts w:hint="eastAsia" w:ascii="楷体" w:hAnsi="楷体" w:eastAsia="楷体"/>
          <w:b/>
          <w:szCs w:val="21"/>
        </w:rPr>
        <w:t>申请开通相关支付</w:t>
      </w:r>
      <w:r>
        <w:rPr>
          <w:rFonts w:ascii="楷体" w:hAnsi="楷体" w:eastAsia="楷体"/>
          <w:b/>
          <w:szCs w:val="21"/>
        </w:rPr>
        <w:t>服务功能</w:t>
      </w:r>
      <w:r>
        <w:rPr>
          <w:rFonts w:hint="eastAsia" w:ascii="楷体" w:hAnsi="楷体" w:eastAsia="楷体"/>
          <w:b/>
          <w:szCs w:val="21"/>
        </w:rPr>
        <w:t>时，应向乙方如实提供相关企业资质材料、品牌介绍信息、业务情况说明及相关法律证明，并授权乙方有权基于业务管理之需要对甲方资信状况进行调查与核实。甲方应保证上述提交资料的准确性、真实性、完整性、合法性。甲方承担因资料虚假、不准确、不真实而引发的所有后果。</w:t>
      </w:r>
      <w:r>
        <w:rPr>
          <w:rFonts w:hint="eastAsia" w:ascii="楷体" w:hAnsi="楷体" w:eastAsia="楷体"/>
          <w:szCs w:val="21"/>
        </w:rPr>
        <w:t>如甲方上述信息发生变更，包括但不限于主体变更、甲方企业名称变更、法定代表人更换、业务对接人变更等，应提前</w:t>
      </w:r>
      <w:r>
        <w:rPr>
          <w:rFonts w:ascii="楷体" w:hAnsi="楷体" w:eastAsia="楷体"/>
          <w:szCs w:val="21"/>
        </w:rPr>
        <w:t>5</w:t>
      </w:r>
      <w:r>
        <w:rPr>
          <w:rFonts w:hint="eastAsia" w:ascii="楷体" w:hAnsi="楷体" w:eastAsia="楷体"/>
          <w:szCs w:val="21"/>
        </w:rPr>
        <w:t>个工作日书面通知乙方，依据乙方要求配合完成变更确认手续并提供相关变更证明。如因</w:t>
      </w:r>
      <w:r>
        <w:rPr>
          <w:rFonts w:ascii="楷体" w:hAnsi="楷体" w:eastAsia="楷体"/>
          <w:szCs w:val="21"/>
        </w:rPr>
        <w:t>甲方</w:t>
      </w:r>
      <w:r>
        <w:rPr>
          <w:rFonts w:hint="eastAsia" w:ascii="楷体" w:hAnsi="楷体" w:eastAsia="楷体"/>
          <w:szCs w:val="21"/>
        </w:rPr>
        <w:t>提交</w:t>
      </w:r>
      <w:r>
        <w:rPr>
          <w:rFonts w:ascii="楷体" w:hAnsi="楷体" w:eastAsia="楷体"/>
          <w:szCs w:val="21"/>
        </w:rPr>
        <w:t>的资料</w:t>
      </w:r>
      <w:r>
        <w:rPr>
          <w:rFonts w:hint="eastAsia" w:ascii="楷体" w:hAnsi="楷体" w:eastAsia="楷体"/>
          <w:szCs w:val="21"/>
        </w:rPr>
        <w:t>不符合上述</w:t>
      </w:r>
      <w:r>
        <w:rPr>
          <w:rFonts w:ascii="楷体" w:hAnsi="楷体" w:eastAsia="楷体"/>
          <w:szCs w:val="21"/>
        </w:rPr>
        <w:t>要求，</w:t>
      </w:r>
      <w:r>
        <w:rPr>
          <w:rFonts w:hint="eastAsia" w:ascii="楷体" w:hAnsi="楷体" w:eastAsia="楷体"/>
          <w:szCs w:val="21"/>
        </w:rPr>
        <w:t>一经</w:t>
      </w:r>
      <w:r>
        <w:rPr>
          <w:rFonts w:ascii="楷体" w:hAnsi="楷体" w:eastAsia="楷体"/>
          <w:szCs w:val="21"/>
        </w:rPr>
        <w:t>发现，乙方有权</w:t>
      </w:r>
      <w:r>
        <w:rPr>
          <w:rFonts w:hint="eastAsia" w:ascii="楷体" w:hAnsi="楷体" w:eastAsia="楷体"/>
          <w:szCs w:val="21"/>
        </w:rPr>
        <w:t>随时</w:t>
      </w:r>
      <w:r>
        <w:rPr>
          <w:rFonts w:ascii="楷体" w:hAnsi="楷体" w:eastAsia="楷体"/>
          <w:szCs w:val="21"/>
        </w:rPr>
        <w:t>暂停向甲方提供本协议约定各项服务，而不承担违约责任。</w:t>
      </w:r>
    </w:p>
    <w:p>
      <w:pPr>
        <w:pStyle w:val="12"/>
        <w:numPr>
          <w:ilvl w:val="0"/>
          <w:numId w:val="6"/>
        </w:numPr>
        <w:ind w:firstLineChars="0"/>
        <w:rPr>
          <w:rFonts w:ascii="楷体" w:hAnsi="楷体" w:eastAsia="楷体"/>
          <w:b/>
          <w:szCs w:val="21"/>
        </w:rPr>
      </w:pPr>
      <w:r>
        <w:rPr>
          <w:rFonts w:hint="eastAsia" w:ascii="楷体" w:hAnsi="楷体" w:eastAsia="楷体"/>
          <w:b/>
          <w:szCs w:val="21"/>
        </w:rPr>
        <w:t>甲方应承诺发起的交易基于真实的交易背景，不得利用乙方提供的服务进行虚假交易。甲方应按乙方的要求向乙方提供详细的、真实可信的交易信息字段，交易信息至少包括：直接提供商品或服务的商户名称、商品订单号、商品名称、商品描述、交易金额、交易时间和地点、交易类型和渠道等。</w:t>
      </w:r>
    </w:p>
    <w:p>
      <w:pPr>
        <w:pStyle w:val="12"/>
        <w:numPr>
          <w:ilvl w:val="0"/>
          <w:numId w:val="6"/>
        </w:numPr>
        <w:ind w:firstLineChars="0"/>
        <w:rPr>
          <w:rFonts w:ascii="楷体" w:hAnsi="楷体" w:eastAsia="楷体"/>
          <w:b/>
          <w:szCs w:val="21"/>
        </w:rPr>
      </w:pPr>
      <w:r>
        <w:rPr>
          <w:rFonts w:hint="eastAsia" w:ascii="楷体" w:hAnsi="楷体" w:eastAsia="楷体"/>
          <w:b/>
          <w:szCs w:val="21"/>
        </w:rPr>
        <w:t>甲方应妥善保管交易产生的资料、数据(包括但不限于订单号、客户名称、身份证件号、交易日期、交易金额、所购商品内容、电子凭证、签购单或email签收回复（如有）等)，自交易完成之日起不少于五年。如因甲方保管不善或其他违约行为造成的相关资金风险和责任由甲方承担。如发生持卡人否认交易或拒付、监管机构的检查或法律法规要求提供的其他情形，甲方应积极协助乙方提供相关交易记录或凭证，自乙方通知之日起3个工作日内提供。</w:t>
      </w:r>
    </w:p>
    <w:p>
      <w:pPr>
        <w:pStyle w:val="12"/>
        <w:numPr>
          <w:ilvl w:val="0"/>
          <w:numId w:val="6"/>
        </w:numPr>
        <w:ind w:firstLineChars="0"/>
        <w:rPr>
          <w:rFonts w:ascii="楷体" w:hAnsi="楷体" w:eastAsia="楷体"/>
          <w:b/>
          <w:szCs w:val="21"/>
        </w:rPr>
      </w:pPr>
      <w:r>
        <w:rPr>
          <w:rFonts w:hint="eastAsia" w:ascii="楷体" w:hAnsi="楷体" w:eastAsia="楷体"/>
          <w:b/>
          <w:szCs w:val="21"/>
        </w:rPr>
        <w:t>若因异常交易导致乙方遭受损失,包括但不限于监管机构处罚或先行赔付等，甲方应当向乙方赔偿损失，同时乙方有权中止或终止本协议。</w:t>
      </w:r>
    </w:p>
    <w:p>
      <w:pPr>
        <w:pStyle w:val="12"/>
        <w:numPr>
          <w:ilvl w:val="0"/>
          <w:numId w:val="6"/>
        </w:numPr>
        <w:ind w:firstLineChars="0"/>
        <w:rPr>
          <w:rFonts w:ascii="楷体" w:hAnsi="楷体" w:eastAsia="楷体"/>
          <w:b/>
          <w:szCs w:val="21"/>
        </w:rPr>
      </w:pPr>
      <w:r>
        <w:rPr>
          <w:rFonts w:hint="eastAsia" w:ascii="楷体" w:hAnsi="楷体" w:eastAsia="楷体"/>
          <w:szCs w:val="21"/>
        </w:rPr>
        <w:t>甲方有权通过乙方进行交易情况查询，在查询过程中的任何问题可联系乙方解决。若甲方对乙方的账务处理有疑问，可向乙方书面提出，乙方应在收到甲方询问后的五个工作日内予以答复。</w:t>
      </w:r>
    </w:p>
    <w:p>
      <w:pPr>
        <w:pStyle w:val="12"/>
        <w:numPr>
          <w:ilvl w:val="0"/>
          <w:numId w:val="6"/>
        </w:numPr>
        <w:ind w:firstLineChars="0"/>
        <w:rPr>
          <w:rFonts w:ascii="楷体" w:hAnsi="楷体" w:eastAsia="楷体"/>
          <w:b/>
          <w:szCs w:val="21"/>
        </w:rPr>
      </w:pPr>
      <w:r>
        <w:rPr>
          <w:rFonts w:hint="eastAsia" w:ascii="楷体" w:hAnsi="楷体" w:eastAsia="楷体"/>
          <w:b/>
          <w:szCs w:val="21"/>
        </w:rPr>
        <w:t>甲方应遵守中国人民银行、银监会、银联、支付清算协会及国家或行业信息安全法律法规规范（如《银联卡收单机构账户信息安全管理标准》），不得采取任何方式截取持卡人任何信息（包括但不限于银行卡、CVV2等），不得代持卡人发出任何指令。否则，甲方应独立承担由此引起的一切法律责任和后果，乙方并有权据此终止本协议。</w:t>
      </w:r>
    </w:p>
    <w:p>
      <w:pPr>
        <w:pStyle w:val="12"/>
        <w:numPr>
          <w:ilvl w:val="0"/>
          <w:numId w:val="6"/>
        </w:numPr>
        <w:adjustRightInd w:val="0"/>
        <w:snapToGrid w:val="0"/>
        <w:ind w:firstLineChars="0"/>
        <w:rPr>
          <w:rFonts w:ascii="楷体" w:hAnsi="楷体" w:eastAsia="楷体"/>
          <w:b/>
          <w:szCs w:val="21"/>
        </w:rPr>
      </w:pPr>
      <w:r>
        <w:rPr>
          <w:rFonts w:hint="eastAsia" w:ascii="楷体" w:hAnsi="楷体" w:eastAsia="楷体"/>
          <w:b/>
          <w:szCs w:val="21"/>
        </w:rPr>
        <w:t>甲方应持续遵守银联发布的《银联卡支付信息安全管理标准》，并应承担支付信息安全管理责任。因甲方违反《银联卡支付信息安全管理标准》的约定而造成乙方、银联或其他第三方任何损失的，甲方应承担赔偿责任。</w:t>
      </w:r>
    </w:p>
    <w:p>
      <w:pPr>
        <w:pStyle w:val="12"/>
        <w:numPr>
          <w:ilvl w:val="0"/>
          <w:numId w:val="6"/>
        </w:numPr>
        <w:adjustRightInd w:val="0"/>
        <w:snapToGrid w:val="0"/>
        <w:ind w:firstLineChars="0"/>
        <w:rPr>
          <w:rFonts w:ascii="楷体" w:hAnsi="楷体" w:eastAsia="楷体"/>
          <w:b/>
          <w:szCs w:val="21"/>
        </w:rPr>
      </w:pPr>
      <w:r>
        <w:rPr>
          <w:rFonts w:hint="eastAsia" w:ascii="楷体" w:hAnsi="楷体" w:eastAsia="楷体"/>
          <w:b/>
          <w:szCs w:val="21"/>
        </w:rPr>
        <w:t>发生支付信息泄漏事件后，甲方应配合乙方、监管部门或中国银联风险管理委员会授权的第三方专业化检测机构开展泄漏原因及范围调查。</w:t>
      </w:r>
    </w:p>
    <w:p>
      <w:pPr>
        <w:pStyle w:val="12"/>
        <w:numPr>
          <w:ilvl w:val="0"/>
          <w:numId w:val="6"/>
        </w:numPr>
        <w:ind w:firstLineChars="0"/>
        <w:rPr>
          <w:rFonts w:ascii="楷体" w:hAnsi="楷体" w:eastAsia="楷体"/>
          <w:b/>
          <w:szCs w:val="21"/>
        </w:rPr>
      </w:pPr>
      <w:r>
        <w:rPr>
          <w:rFonts w:hint="eastAsia" w:ascii="楷体" w:hAnsi="楷体" w:eastAsia="楷体"/>
          <w:b/>
          <w:szCs w:val="21"/>
        </w:rPr>
        <w:t>甲方不得对乙方的服务系统和程序采取反向工程手段进行破解，不得对上述系统和程序（包括但不限于源程序、目标程序、软件文档、运行在本地电脑内存中的数据、客户端至服务器端的数据、服务器数据等）进行复制、修改、编译、整合和篡改，不得修改或增加乙方服务系统的原有功能。</w:t>
      </w:r>
    </w:p>
    <w:p>
      <w:pPr>
        <w:pStyle w:val="12"/>
        <w:numPr>
          <w:ilvl w:val="0"/>
          <w:numId w:val="6"/>
        </w:numPr>
        <w:ind w:firstLineChars="0"/>
        <w:rPr>
          <w:rFonts w:ascii="楷体" w:hAnsi="楷体" w:eastAsia="楷体"/>
          <w:szCs w:val="21"/>
        </w:rPr>
      </w:pPr>
      <w:r>
        <w:rPr>
          <w:rFonts w:hint="eastAsia" w:ascii="楷体" w:hAnsi="楷体" w:eastAsia="楷体"/>
          <w:szCs w:val="21"/>
        </w:rPr>
        <w:t>甲方不得把乙方提供的网络支付接口、安全协议及证书用于本协议范围以外的用途，也不得出租、转让给任何第三方使用。甲方不得将其他商户的交易伪造成自己的交易与乙方结算。双方终止合作后，甲方应及时销毁乙方提供的所有技术文档，不得擅自利用或转交任何其他第三方。</w:t>
      </w:r>
    </w:p>
    <w:p>
      <w:pPr>
        <w:pStyle w:val="12"/>
        <w:numPr>
          <w:ilvl w:val="0"/>
          <w:numId w:val="6"/>
        </w:numPr>
        <w:ind w:firstLineChars="0"/>
        <w:rPr>
          <w:rFonts w:ascii="楷体" w:hAnsi="楷体" w:eastAsia="楷体"/>
          <w:szCs w:val="21"/>
        </w:rPr>
      </w:pPr>
      <w:r>
        <w:rPr>
          <w:rFonts w:hint="eastAsia" w:ascii="楷体" w:hAnsi="楷体" w:eastAsia="楷体"/>
          <w:szCs w:val="21"/>
        </w:rPr>
        <w:t>甲方应根据乙方要求合理使用网络支付接口，保证在本协议约定的服务范围及交易类型内使用乙方提供的网络支付接口，不得违规挪用。网络支付接口的安装地址需于甲方的办公地址和从事经营活动的网络地址保持一致。</w:t>
      </w:r>
    </w:p>
    <w:p>
      <w:pPr>
        <w:pStyle w:val="12"/>
        <w:numPr>
          <w:ilvl w:val="0"/>
          <w:numId w:val="6"/>
        </w:numPr>
        <w:ind w:firstLineChars="0"/>
        <w:rPr>
          <w:rFonts w:ascii="楷体" w:hAnsi="楷体" w:eastAsia="楷体"/>
          <w:szCs w:val="21"/>
        </w:rPr>
      </w:pPr>
      <w:r>
        <w:rPr>
          <w:rFonts w:hint="eastAsia" w:ascii="楷体" w:hAnsi="楷体" w:eastAsia="楷体"/>
          <w:szCs w:val="21"/>
        </w:rPr>
        <w:t>甲方需遵循乙方制定的网络支付接口风险管理措施，包括网络支付接口的审批、使用、变更、撤销等操作流程。乙方有权根据甲方的交易情况对网络支付接口实施包括限额控制在内等各项交易风险管理措施。</w:t>
      </w:r>
    </w:p>
    <w:p>
      <w:pPr>
        <w:pStyle w:val="12"/>
        <w:numPr>
          <w:ilvl w:val="0"/>
          <w:numId w:val="6"/>
        </w:numPr>
        <w:ind w:firstLineChars="0"/>
        <w:rPr>
          <w:rFonts w:ascii="楷体" w:hAnsi="楷体" w:eastAsia="楷体"/>
          <w:szCs w:val="21"/>
        </w:rPr>
      </w:pPr>
      <w:r>
        <w:rPr>
          <w:rFonts w:hint="eastAsia" w:ascii="楷体" w:hAnsi="楷体" w:eastAsia="楷体"/>
          <w:szCs w:val="21"/>
        </w:rPr>
        <w:t>甲方保证依法使用乙方提供的网络支付接口及代付服务，甲方不得利用乙方的网络支付接口或代付服务从事任何违反中国法律、法规、规章、规范性文件及政策的活动、不得实施侵犯他人合法权益、违反公序良俗和诚实信用的行为</w:t>
      </w:r>
      <w:r>
        <w:rPr>
          <w:rFonts w:hint="eastAsia" w:ascii="楷体" w:hAnsi="楷体" w:eastAsia="楷体" w:cs="宋体"/>
          <w:kern w:val="0"/>
          <w:szCs w:val="21"/>
        </w:rPr>
        <w:t>,否则乙方有权立即关闭</w:t>
      </w:r>
      <w:r>
        <w:rPr>
          <w:rFonts w:hint="eastAsia" w:ascii="楷体" w:hAnsi="楷体" w:eastAsia="楷体"/>
          <w:szCs w:val="21"/>
        </w:rPr>
        <w:t>网络支付接口</w:t>
      </w:r>
      <w:r>
        <w:rPr>
          <w:rFonts w:hint="eastAsia" w:ascii="楷体" w:hAnsi="楷体" w:eastAsia="楷体" w:cs="宋体"/>
          <w:kern w:val="0"/>
          <w:szCs w:val="21"/>
        </w:rPr>
        <w:t>、终止本协议</w:t>
      </w:r>
      <w:r>
        <w:rPr>
          <w:rFonts w:hint="eastAsia" w:ascii="楷体" w:hAnsi="楷体" w:eastAsia="楷体"/>
          <w:szCs w:val="21"/>
        </w:rPr>
        <w:t>且不承担因此给甲方造成的任何损失。上述违法违规行为包括但不限于：</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从事非法交易行为，如洗钱、套现、涉赌、诈骗等行为；</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利用用户银行卡账户进行无真实交易背景的虚假交易，或与真实交易背景不相符的交易行为；</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使用盗窃、伪造的银行卡账户交易；</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甲方违反保密条款，将用户银行卡账户及交易信息泄露给不法分子使用；</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违规挪用网络支付接口；</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利用网络支付接口从事违法违规用途，如经营违法违规网络游戏等网络服务、销售法律禁止流通、限制流通商品或提供非法服务等；</w:t>
      </w:r>
    </w:p>
    <w:p>
      <w:pPr>
        <w:pStyle w:val="12"/>
        <w:numPr>
          <w:ilvl w:val="0"/>
          <w:numId w:val="8"/>
        </w:numPr>
        <w:adjustRightInd w:val="0"/>
        <w:snapToGrid w:val="0"/>
        <w:ind w:firstLineChars="0"/>
        <w:rPr>
          <w:rFonts w:ascii="楷体" w:hAnsi="楷体" w:eastAsia="楷体" w:cs="宋体"/>
          <w:kern w:val="0"/>
          <w:szCs w:val="21"/>
        </w:rPr>
      </w:pPr>
      <w:r>
        <w:rPr>
          <w:rFonts w:hint="eastAsia" w:ascii="楷体" w:hAnsi="楷体" w:eastAsia="楷体" w:cs="宋体"/>
          <w:kern w:val="0"/>
          <w:szCs w:val="21"/>
        </w:rPr>
        <w:t>其他违反法律法规的行为。</w:t>
      </w:r>
    </w:p>
    <w:p>
      <w:pPr>
        <w:pStyle w:val="12"/>
        <w:numPr>
          <w:ilvl w:val="0"/>
          <w:numId w:val="6"/>
        </w:numPr>
        <w:ind w:firstLineChars="0"/>
        <w:rPr>
          <w:rFonts w:ascii="楷体" w:hAnsi="楷体" w:eastAsia="楷体"/>
          <w:szCs w:val="21"/>
        </w:rPr>
      </w:pPr>
      <w:r>
        <w:rPr>
          <w:rFonts w:hint="eastAsia" w:ascii="楷体" w:hAnsi="楷体" w:eastAsia="楷体"/>
          <w:szCs w:val="21"/>
        </w:rPr>
        <w:t>非经</w:t>
      </w:r>
      <w:r>
        <w:rPr>
          <w:rFonts w:ascii="楷体" w:hAnsi="楷体" w:eastAsia="楷体"/>
          <w:szCs w:val="21"/>
        </w:rPr>
        <w:t>乙方书面许可，</w:t>
      </w:r>
      <w:r>
        <w:rPr>
          <w:rFonts w:hint="eastAsia" w:ascii="楷体" w:hAnsi="楷体" w:eastAsia="楷体"/>
          <w:szCs w:val="21"/>
        </w:rPr>
        <w:t>甲方</w:t>
      </w:r>
      <w:r>
        <w:rPr>
          <w:rFonts w:ascii="楷体" w:hAnsi="楷体" w:eastAsia="楷体"/>
          <w:szCs w:val="21"/>
        </w:rPr>
        <w:t>不得将</w:t>
      </w:r>
      <w:r>
        <w:rPr>
          <w:rFonts w:hint="eastAsia" w:ascii="楷体" w:hAnsi="楷体" w:eastAsia="楷体"/>
          <w:szCs w:val="21"/>
        </w:rPr>
        <w:t>本协议约定</w:t>
      </w:r>
      <w:r>
        <w:rPr>
          <w:rFonts w:ascii="楷体" w:hAnsi="楷体" w:eastAsia="楷体"/>
          <w:szCs w:val="21"/>
        </w:rPr>
        <w:t>的权利义务进行转让或转委托。</w:t>
      </w:r>
    </w:p>
    <w:p>
      <w:pPr>
        <w:pStyle w:val="12"/>
        <w:numPr>
          <w:ilvl w:val="0"/>
          <w:numId w:val="6"/>
        </w:numPr>
        <w:ind w:firstLineChars="0"/>
        <w:rPr>
          <w:rFonts w:ascii="楷体" w:hAnsi="楷体" w:eastAsia="楷体"/>
          <w:szCs w:val="21"/>
        </w:rPr>
      </w:pPr>
      <w:r>
        <w:rPr>
          <w:rFonts w:hint="eastAsia" w:ascii="楷体" w:hAnsi="楷体" w:eastAsia="楷体"/>
          <w:szCs w:val="21"/>
        </w:rPr>
        <w:t>甲方同意配合乙方依据相关法律法规开展反洗钱工作以及银行、公安部门对交易的调查，并根据相关部门要求提供详细交易信息，包括交易客户具体身份信息及所购买商品或服务的具体信息等。</w:t>
      </w:r>
    </w:p>
    <w:p>
      <w:pPr>
        <w:pStyle w:val="12"/>
        <w:numPr>
          <w:ilvl w:val="0"/>
          <w:numId w:val="6"/>
        </w:numPr>
        <w:ind w:firstLineChars="0"/>
        <w:rPr>
          <w:rFonts w:ascii="楷体" w:hAnsi="楷体" w:eastAsia="楷体"/>
          <w:szCs w:val="21"/>
        </w:rPr>
      </w:pPr>
      <w:r>
        <w:rPr>
          <w:rFonts w:hint="eastAsia" w:ascii="楷体" w:hAnsi="楷体" w:eastAsia="楷体"/>
          <w:szCs w:val="21"/>
        </w:rPr>
        <w:t>甲方不得将乙方向其收取的支付服务费用转嫁给客户。</w:t>
      </w:r>
    </w:p>
    <w:p>
      <w:pPr>
        <w:pStyle w:val="12"/>
        <w:numPr>
          <w:ilvl w:val="0"/>
          <w:numId w:val="6"/>
        </w:numPr>
        <w:ind w:firstLineChars="0"/>
        <w:rPr>
          <w:rFonts w:ascii="楷体" w:hAnsi="楷体" w:eastAsia="楷体"/>
          <w:szCs w:val="21"/>
        </w:rPr>
      </w:pPr>
      <w:r>
        <w:rPr>
          <w:rFonts w:hint="eastAsia" w:ascii="楷体" w:hAnsi="楷体" w:eastAsia="楷体"/>
          <w:szCs w:val="21"/>
        </w:rPr>
        <w:t>甲方同意按监管规定，合法合规管理受理终端，例如不得擅自移机改变受理终端布放地址。</w:t>
      </w:r>
    </w:p>
    <w:p>
      <w:pPr>
        <w:pStyle w:val="12"/>
        <w:numPr>
          <w:ilvl w:val="0"/>
          <w:numId w:val="5"/>
        </w:numPr>
        <w:ind w:firstLineChars="0"/>
        <w:rPr>
          <w:rFonts w:ascii="楷体" w:hAnsi="楷体" w:eastAsia="楷体"/>
          <w:b/>
          <w:szCs w:val="21"/>
        </w:rPr>
      </w:pPr>
      <w:r>
        <w:rPr>
          <w:rFonts w:hint="eastAsia" w:ascii="楷体" w:hAnsi="楷体" w:eastAsia="楷体"/>
          <w:b/>
          <w:szCs w:val="21"/>
        </w:rPr>
        <w:t>乙方权利与义务</w:t>
      </w:r>
    </w:p>
    <w:p>
      <w:pPr>
        <w:pStyle w:val="12"/>
        <w:numPr>
          <w:ilvl w:val="0"/>
          <w:numId w:val="9"/>
        </w:numPr>
        <w:ind w:firstLineChars="0"/>
        <w:rPr>
          <w:rFonts w:ascii="楷体" w:hAnsi="楷体" w:eastAsia="楷体"/>
          <w:szCs w:val="21"/>
        </w:rPr>
      </w:pPr>
      <w:r>
        <w:rPr>
          <w:rFonts w:hint="eastAsia" w:ascii="楷体" w:hAnsi="楷体" w:eastAsia="楷体"/>
          <w:szCs w:val="21"/>
        </w:rPr>
        <w:t>乙方为甲方提供国内商业银行的支付信息交换、资金结算及退款服务，完成相应付款或退款功能，乙方有权根据监管机构要求或清算机构</w:t>
      </w:r>
      <w:r>
        <w:rPr>
          <w:rFonts w:ascii="楷体" w:hAnsi="楷体" w:eastAsia="楷体"/>
          <w:szCs w:val="21"/>
        </w:rPr>
        <w:t>或</w:t>
      </w:r>
      <w:r>
        <w:rPr>
          <w:rFonts w:hint="eastAsia" w:ascii="楷体" w:hAnsi="楷体" w:eastAsia="楷体"/>
          <w:szCs w:val="21"/>
        </w:rPr>
        <w:t>银行合作情况调整所支持的银行卡，但应及时通知甲方。</w:t>
      </w:r>
    </w:p>
    <w:p>
      <w:pPr>
        <w:pStyle w:val="12"/>
        <w:numPr>
          <w:ilvl w:val="0"/>
          <w:numId w:val="9"/>
        </w:numPr>
        <w:ind w:firstLineChars="0"/>
        <w:rPr>
          <w:rFonts w:ascii="楷体" w:hAnsi="楷体" w:eastAsia="楷体"/>
          <w:szCs w:val="21"/>
        </w:rPr>
      </w:pPr>
      <w:r>
        <w:rPr>
          <w:rFonts w:hint="eastAsia" w:ascii="楷体" w:hAnsi="楷体" w:eastAsia="楷体"/>
          <w:szCs w:val="21"/>
        </w:rPr>
        <w:t>乙方应确保甲方账户资金、交易资金的安全存放和准确及时划转。</w:t>
      </w:r>
    </w:p>
    <w:p>
      <w:pPr>
        <w:pStyle w:val="12"/>
        <w:numPr>
          <w:ilvl w:val="0"/>
          <w:numId w:val="9"/>
        </w:numPr>
        <w:ind w:firstLineChars="0"/>
        <w:rPr>
          <w:rFonts w:ascii="楷体" w:hAnsi="楷体" w:eastAsia="楷体"/>
          <w:b/>
          <w:szCs w:val="21"/>
        </w:rPr>
      </w:pPr>
      <w:r>
        <w:rPr>
          <w:rFonts w:hint="eastAsia" w:ascii="楷体" w:hAnsi="楷体" w:eastAsia="楷体"/>
          <w:b/>
          <w:szCs w:val="21"/>
        </w:rPr>
        <w:t>乙方可拒绝支付或追索甲方违反国家法律法规或本协议约定的有关款项。</w:t>
      </w:r>
    </w:p>
    <w:p>
      <w:pPr>
        <w:pStyle w:val="12"/>
        <w:numPr>
          <w:ilvl w:val="0"/>
          <w:numId w:val="9"/>
        </w:numPr>
        <w:ind w:firstLineChars="0"/>
        <w:rPr>
          <w:rFonts w:ascii="楷体" w:hAnsi="楷体" w:eastAsia="楷体"/>
          <w:b/>
          <w:szCs w:val="21"/>
        </w:rPr>
      </w:pPr>
      <w:r>
        <w:rPr>
          <w:rFonts w:hint="eastAsia" w:ascii="楷体" w:hAnsi="楷体" w:eastAsia="楷体"/>
          <w:b/>
          <w:szCs w:val="21"/>
        </w:rPr>
        <w:t>乙方有权为防控交易风险，依据相关监管规定，在提供支付服务时通过多种方式进行身份认证及交易验证，甲方有权配合提供交易验证要素，由于身份认证或交易验证不通过的，乙方有权拒绝提供支付服务。</w:t>
      </w:r>
    </w:p>
    <w:p>
      <w:pPr>
        <w:pStyle w:val="12"/>
        <w:numPr>
          <w:ilvl w:val="0"/>
          <w:numId w:val="9"/>
        </w:numPr>
        <w:ind w:firstLineChars="0"/>
        <w:rPr>
          <w:rFonts w:ascii="楷体" w:hAnsi="楷体" w:eastAsia="楷体"/>
          <w:b/>
          <w:szCs w:val="21"/>
        </w:rPr>
      </w:pPr>
      <w:r>
        <w:rPr>
          <w:rFonts w:hint="eastAsia" w:ascii="楷体" w:hAnsi="楷体" w:eastAsia="楷体"/>
          <w:b/>
          <w:szCs w:val="21"/>
        </w:rPr>
        <w:t>乙方发现或认为甲方存在异常</w:t>
      </w:r>
      <w:r>
        <w:rPr>
          <w:rFonts w:ascii="楷体" w:hAnsi="楷体" w:eastAsia="楷体"/>
          <w:b/>
          <w:szCs w:val="21"/>
        </w:rPr>
        <w:t>交易</w:t>
      </w:r>
      <w:r>
        <w:rPr>
          <w:rFonts w:hint="eastAsia" w:ascii="楷体" w:hAnsi="楷体" w:eastAsia="楷体"/>
          <w:b/>
          <w:szCs w:val="21"/>
        </w:rPr>
        <w:t>的，乙方有权采取</w:t>
      </w:r>
      <w:r>
        <w:rPr>
          <w:rFonts w:ascii="楷体" w:hAnsi="楷体" w:eastAsia="楷体"/>
          <w:b/>
          <w:szCs w:val="21"/>
        </w:rPr>
        <w:t>包括但不限于以下措施：</w:t>
      </w:r>
      <w:r>
        <w:rPr>
          <w:rFonts w:hint="eastAsia" w:ascii="楷体" w:hAnsi="楷体" w:eastAsia="楷体"/>
          <w:b/>
          <w:szCs w:val="21"/>
        </w:rPr>
        <w:t>立即解除本协议，同时终止甲方的银行卡交易、收回布放在甲方的</w:t>
      </w:r>
      <w:r>
        <w:rPr>
          <w:rFonts w:ascii="楷体" w:hAnsi="楷体" w:eastAsia="楷体"/>
          <w:b/>
          <w:szCs w:val="21"/>
        </w:rPr>
        <w:t>受理终端</w:t>
      </w:r>
      <w:r>
        <w:rPr>
          <w:rFonts w:hint="eastAsia" w:ascii="楷体" w:hAnsi="楷体" w:eastAsia="楷体"/>
          <w:b/>
          <w:szCs w:val="21"/>
        </w:rPr>
        <w:t>与交易凭证、暂停或暂缓结算交易款、要求甲方及时提供所有的交易材料证明，并对其他必要的财产采取保全措施。乙方亦有权利向相关银行、清算</w:t>
      </w:r>
      <w:r>
        <w:rPr>
          <w:rFonts w:ascii="楷体" w:hAnsi="楷体" w:eastAsia="楷体"/>
          <w:b/>
          <w:szCs w:val="21"/>
        </w:rPr>
        <w:t>机构、</w:t>
      </w:r>
      <w:r>
        <w:rPr>
          <w:rFonts w:hint="eastAsia" w:ascii="楷体" w:hAnsi="楷体" w:eastAsia="楷体"/>
          <w:b/>
          <w:szCs w:val="21"/>
        </w:rPr>
        <w:t>发卡组织、中国人民银行、支付清算协会和各司法机关报告甲方的行为。因甲方的异常</w:t>
      </w:r>
      <w:r>
        <w:rPr>
          <w:rFonts w:ascii="楷体" w:hAnsi="楷体" w:eastAsia="楷体"/>
          <w:b/>
          <w:szCs w:val="21"/>
        </w:rPr>
        <w:t>交易</w:t>
      </w:r>
      <w:r>
        <w:rPr>
          <w:rFonts w:hint="eastAsia" w:ascii="楷体" w:hAnsi="楷体" w:eastAsia="楷体"/>
          <w:b/>
          <w:szCs w:val="21"/>
        </w:rPr>
        <w:t>行为给乙方造成损失的，由甲方承担赔偿责任，</w:t>
      </w:r>
      <w:r>
        <w:rPr>
          <w:rFonts w:ascii="楷体" w:hAnsi="楷体" w:eastAsia="楷体"/>
          <w:b/>
          <w:szCs w:val="21"/>
        </w:rPr>
        <w:t>方式包括但不限于：扣除</w:t>
      </w:r>
      <w:r>
        <w:rPr>
          <w:rFonts w:hint="eastAsia" w:ascii="楷体" w:hAnsi="楷体" w:eastAsia="楷体"/>
          <w:b/>
          <w:szCs w:val="21"/>
        </w:rPr>
        <w:t>甲方</w:t>
      </w:r>
      <w:r>
        <w:rPr>
          <w:rFonts w:ascii="楷体" w:hAnsi="楷体" w:eastAsia="楷体"/>
          <w:b/>
          <w:szCs w:val="21"/>
        </w:rPr>
        <w:t>待结算</w:t>
      </w:r>
      <w:r>
        <w:rPr>
          <w:rFonts w:hint="eastAsia" w:ascii="楷体" w:hAnsi="楷体" w:eastAsia="楷体"/>
          <w:b/>
          <w:szCs w:val="21"/>
        </w:rPr>
        <w:t>交易</w:t>
      </w:r>
      <w:r>
        <w:rPr>
          <w:rFonts w:ascii="楷体" w:hAnsi="楷体" w:eastAsia="楷体"/>
          <w:b/>
          <w:szCs w:val="21"/>
        </w:rPr>
        <w:t>资金</w:t>
      </w:r>
      <w:r>
        <w:rPr>
          <w:rFonts w:hint="eastAsia" w:ascii="楷体" w:hAnsi="楷体" w:eastAsia="楷体"/>
          <w:b/>
          <w:szCs w:val="21"/>
        </w:rPr>
        <w:t>、甲方</w:t>
      </w:r>
      <w:r>
        <w:rPr>
          <w:rFonts w:ascii="楷体" w:hAnsi="楷体" w:eastAsia="楷体"/>
          <w:b/>
          <w:szCs w:val="21"/>
        </w:rPr>
        <w:t>支付赔偿</w:t>
      </w:r>
      <w:r>
        <w:rPr>
          <w:rFonts w:hint="eastAsia" w:ascii="楷体" w:hAnsi="楷体" w:eastAsia="楷体"/>
          <w:b/>
          <w:szCs w:val="21"/>
        </w:rPr>
        <w:t>金</w:t>
      </w:r>
      <w:r>
        <w:rPr>
          <w:rFonts w:ascii="楷体" w:hAnsi="楷体" w:eastAsia="楷体"/>
          <w:b/>
          <w:szCs w:val="21"/>
        </w:rPr>
        <w:t>等。</w:t>
      </w:r>
    </w:p>
    <w:p>
      <w:pPr>
        <w:pStyle w:val="12"/>
        <w:numPr>
          <w:ilvl w:val="0"/>
          <w:numId w:val="9"/>
        </w:numPr>
        <w:ind w:firstLineChars="0"/>
        <w:rPr>
          <w:rFonts w:ascii="楷体" w:hAnsi="楷体" w:eastAsia="楷体"/>
          <w:szCs w:val="21"/>
        </w:rPr>
      </w:pPr>
      <w:r>
        <w:rPr>
          <w:rFonts w:hint="eastAsia" w:ascii="楷体" w:hAnsi="楷体" w:eastAsia="楷体"/>
          <w:szCs w:val="21"/>
        </w:rPr>
        <w:t>乙方为甲方提供多功能的支付平台系统，包括网络传输加密通道，支付信息传输的软件接口规范、配置安全传输协议、后台管理权限设定等。</w:t>
      </w:r>
    </w:p>
    <w:p>
      <w:pPr>
        <w:pStyle w:val="12"/>
        <w:numPr>
          <w:ilvl w:val="0"/>
          <w:numId w:val="9"/>
        </w:numPr>
        <w:ind w:firstLineChars="0"/>
        <w:rPr>
          <w:rFonts w:ascii="楷体" w:hAnsi="楷体" w:eastAsia="楷体"/>
          <w:szCs w:val="21"/>
        </w:rPr>
      </w:pPr>
      <w:r>
        <w:rPr>
          <w:rFonts w:hint="eastAsia" w:ascii="楷体" w:hAnsi="楷体" w:eastAsia="楷体"/>
          <w:szCs w:val="21"/>
        </w:rPr>
        <w:t>乙方负责自身支付系统的开发建设、运行和管理，应确保该系统的安全性。</w:t>
      </w:r>
    </w:p>
    <w:p>
      <w:pPr>
        <w:pStyle w:val="12"/>
        <w:numPr>
          <w:ilvl w:val="0"/>
          <w:numId w:val="9"/>
        </w:numPr>
        <w:ind w:firstLineChars="0"/>
        <w:rPr>
          <w:rFonts w:ascii="楷体" w:hAnsi="楷体" w:eastAsia="楷体"/>
          <w:szCs w:val="21"/>
        </w:rPr>
      </w:pPr>
      <w:r>
        <w:rPr>
          <w:rFonts w:hint="eastAsia" w:ascii="楷体" w:hAnsi="楷体" w:eastAsia="楷体"/>
          <w:szCs w:val="21"/>
        </w:rPr>
        <w:t>乙方为甲方提供商户信息管理，以及网上交易明细、资金结算信息及退款信息查询服务。</w:t>
      </w:r>
    </w:p>
    <w:p>
      <w:pPr>
        <w:pStyle w:val="12"/>
        <w:numPr>
          <w:ilvl w:val="0"/>
          <w:numId w:val="9"/>
        </w:numPr>
        <w:ind w:firstLineChars="0"/>
        <w:rPr>
          <w:rFonts w:ascii="楷体" w:hAnsi="楷体" w:eastAsia="楷体"/>
          <w:szCs w:val="21"/>
        </w:rPr>
      </w:pPr>
      <w:r>
        <w:rPr>
          <w:rFonts w:hint="eastAsia" w:ascii="楷体" w:hAnsi="楷体" w:eastAsia="楷体"/>
          <w:szCs w:val="21"/>
        </w:rPr>
        <w:t>乙方为甲方及客户提供客户电话服务，负责解答甲方及其客户在使用乙方支付服务中遇到的交易查询、数据对账、资金结算等有关问题。乙方投诉受理电话：400-820-2819（投诉受理时间为工作日9:00-17:30）。</w:t>
      </w:r>
    </w:p>
    <w:p>
      <w:pPr>
        <w:pStyle w:val="12"/>
        <w:numPr>
          <w:ilvl w:val="0"/>
          <w:numId w:val="9"/>
        </w:numPr>
        <w:ind w:firstLineChars="0"/>
        <w:rPr>
          <w:rFonts w:ascii="楷体" w:hAnsi="楷体" w:eastAsia="楷体"/>
          <w:szCs w:val="21"/>
        </w:rPr>
      </w:pPr>
      <w:r>
        <w:rPr>
          <w:rFonts w:hint="eastAsia" w:ascii="楷体" w:hAnsi="楷体" w:eastAsia="楷体"/>
          <w:szCs w:val="21"/>
        </w:rPr>
        <w:t>乙方应为甲方提供本协议约定的各项支付服务，并可按照约定向甲方收取相关服务费用。</w:t>
      </w:r>
    </w:p>
    <w:p>
      <w:pPr>
        <w:pStyle w:val="12"/>
        <w:numPr>
          <w:ilvl w:val="0"/>
          <w:numId w:val="9"/>
        </w:numPr>
        <w:ind w:firstLineChars="0"/>
        <w:rPr>
          <w:rFonts w:ascii="楷体" w:hAnsi="楷体" w:eastAsia="楷体"/>
          <w:b/>
          <w:szCs w:val="21"/>
        </w:rPr>
      </w:pPr>
      <w:r>
        <w:rPr>
          <w:rFonts w:hint="eastAsia" w:ascii="楷体" w:hAnsi="楷体" w:eastAsia="楷体"/>
          <w:b/>
          <w:szCs w:val="21"/>
        </w:rPr>
        <w:t>如果发现同一特约商户或者同一个人控制的特约商户反复更换服务机构等异常状况的，乙方有权要求其提供相关辅助材料及情况说明等相关内容以证明其行为的正常，若拒绝提供或无法证明其行为正常的，则乙方有权拒绝或停止为其提供服务。</w:t>
      </w:r>
    </w:p>
    <w:p>
      <w:pPr>
        <w:pStyle w:val="12"/>
        <w:numPr>
          <w:ilvl w:val="0"/>
          <w:numId w:val="9"/>
        </w:numPr>
        <w:ind w:firstLineChars="0"/>
        <w:rPr>
          <w:rFonts w:ascii="楷体" w:hAnsi="楷体" w:eastAsia="楷体"/>
          <w:b/>
          <w:szCs w:val="21"/>
        </w:rPr>
      </w:pPr>
      <w:r>
        <w:rPr>
          <w:rFonts w:hint="eastAsia" w:ascii="楷体" w:hAnsi="楷体" w:eastAsia="楷体"/>
          <w:b/>
          <w:szCs w:val="21"/>
        </w:rPr>
        <w:t>若发现特约商户或其法定代表人存在于中国支付清算协会及银行卡清算机构所建立的商户黑名单内的，则乙方有权经核实后于10日内予以清退。</w:t>
      </w:r>
    </w:p>
    <w:p>
      <w:pPr>
        <w:pStyle w:val="12"/>
        <w:numPr>
          <w:ilvl w:val="0"/>
          <w:numId w:val="9"/>
        </w:numPr>
        <w:ind w:firstLineChars="0"/>
        <w:rPr>
          <w:rFonts w:ascii="楷体" w:hAnsi="楷体" w:eastAsia="楷体"/>
          <w:b/>
          <w:szCs w:val="21"/>
        </w:rPr>
      </w:pPr>
      <w:r>
        <w:rPr>
          <w:rFonts w:hint="eastAsia" w:ascii="楷体" w:hAnsi="楷体" w:eastAsia="楷体"/>
          <w:b/>
          <w:szCs w:val="21"/>
        </w:rPr>
        <w:t>因以下情况乙方没有成功完成甲方发出的支付指令，乙方不承担责任，但应当及时向甲方发出反馈：（1）乙方接收到的支付指令信息不明、存在乱码、不完整等情形；（2）持卡人的银行卡余额不足或信用额度不足；（3）持卡人银行卡状态不正常，致使无法完成支付；（4）其他不可抗力或其他不可归责于乙方的事由致使乙方不能正确执行甲方支付指令。</w:t>
      </w:r>
    </w:p>
    <w:p>
      <w:pPr>
        <w:pStyle w:val="12"/>
        <w:numPr>
          <w:ilvl w:val="0"/>
          <w:numId w:val="9"/>
        </w:numPr>
        <w:ind w:firstLineChars="0"/>
        <w:rPr>
          <w:rFonts w:ascii="楷体" w:hAnsi="楷体" w:eastAsia="楷体"/>
          <w:b/>
          <w:szCs w:val="21"/>
        </w:rPr>
      </w:pPr>
      <w:r>
        <w:rPr>
          <w:rFonts w:hint="eastAsia" w:ascii="楷体" w:hAnsi="楷体" w:eastAsia="楷体"/>
          <w:b/>
          <w:szCs w:val="21"/>
        </w:rPr>
        <w:t>乙方有权根据银行、清算机构</w:t>
      </w:r>
      <w:r>
        <w:rPr>
          <w:rFonts w:ascii="楷体" w:hAnsi="楷体" w:eastAsia="楷体"/>
          <w:b/>
          <w:szCs w:val="21"/>
        </w:rPr>
        <w:t>、</w:t>
      </w:r>
      <w:r>
        <w:rPr>
          <w:rFonts w:hint="eastAsia" w:ascii="楷体" w:hAnsi="楷体" w:eastAsia="楷体"/>
          <w:b/>
          <w:szCs w:val="21"/>
        </w:rPr>
        <w:t>监管机构要求或乙方风险控制要求暂停或中止提供部分功能，包括但不限于调整银行网关、单笔或单日累计限额等。</w:t>
      </w:r>
    </w:p>
    <w:p>
      <w:pPr>
        <w:pStyle w:val="12"/>
        <w:numPr>
          <w:ilvl w:val="0"/>
          <w:numId w:val="9"/>
        </w:numPr>
        <w:ind w:firstLineChars="0"/>
        <w:rPr>
          <w:rFonts w:ascii="楷体" w:hAnsi="楷体" w:eastAsia="楷体"/>
          <w:b/>
          <w:szCs w:val="21"/>
        </w:rPr>
      </w:pPr>
      <w:r>
        <w:rPr>
          <w:rFonts w:hint="eastAsia" w:ascii="楷体" w:hAnsi="楷体" w:eastAsia="楷体"/>
          <w:b/>
          <w:szCs w:val="21"/>
        </w:rPr>
        <w:t>乙方负责受理涉及其支付系统的投诉并解决相应问题。除此以外，乙方对于甲方与其客户</w:t>
      </w:r>
      <w:r>
        <w:rPr>
          <w:rFonts w:ascii="楷体" w:hAnsi="楷体" w:eastAsia="楷体"/>
          <w:b/>
          <w:szCs w:val="21"/>
        </w:rPr>
        <w:t>之间，</w:t>
      </w:r>
      <w:r>
        <w:rPr>
          <w:rFonts w:hint="eastAsia" w:ascii="楷体" w:hAnsi="楷体" w:eastAsia="楷体"/>
          <w:b/>
          <w:szCs w:val="21"/>
        </w:rPr>
        <w:t>可能发生的商业纠纷不承担责任。</w:t>
      </w:r>
    </w:p>
    <w:p>
      <w:pPr>
        <w:pStyle w:val="12"/>
        <w:numPr>
          <w:ilvl w:val="0"/>
          <w:numId w:val="5"/>
        </w:numPr>
        <w:ind w:firstLineChars="0"/>
        <w:rPr>
          <w:rFonts w:ascii="楷体" w:hAnsi="楷体" w:eastAsia="楷体"/>
          <w:b/>
          <w:szCs w:val="21"/>
        </w:rPr>
      </w:pPr>
      <w:r>
        <w:rPr>
          <w:rFonts w:hint="eastAsia" w:ascii="楷体" w:hAnsi="楷体" w:eastAsia="楷体"/>
          <w:b/>
          <w:szCs w:val="21"/>
        </w:rPr>
        <w:t>费用与结算</w:t>
      </w:r>
    </w:p>
    <w:p>
      <w:pPr>
        <w:pStyle w:val="12"/>
        <w:numPr>
          <w:ilvl w:val="0"/>
          <w:numId w:val="10"/>
        </w:numPr>
        <w:ind w:firstLineChars="0"/>
        <w:rPr>
          <w:rFonts w:ascii="楷体" w:hAnsi="楷体" w:eastAsia="楷体"/>
          <w:bCs/>
          <w:szCs w:val="21"/>
        </w:rPr>
      </w:pPr>
      <w:r>
        <w:rPr>
          <w:rFonts w:hint="eastAsia" w:ascii="楷体" w:hAnsi="楷体" w:eastAsia="楷体"/>
          <w:bCs/>
          <w:szCs w:val="21"/>
        </w:rPr>
        <w:t>因交易产生的所有通讯费用（包含但不限于电话通讯费，宽带月租费，SIM卡费，手机月租费，手机网络流量费用），由甲方自行承担。</w:t>
      </w:r>
    </w:p>
    <w:p>
      <w:pPr>
        <w:pStyle w:val="12"/>
        <w:numPr>
          <w:ilvl w:val="0"/>
          <w:numId w:val="10"/>
        </w:numPr>
        <w:ind w:firstLineChars="0"/>
        <w:rPr>
          <w:rFonts w:ascii="楷体" w:hAnsi="楷体" w:eastAsia="楷体"/>
          <w:b/>
          <w:bCs/>
          <w:szCs w:val="21"/>
        </w:rPr>
      </w:pPr>
      <w:r>
        <w:rPr>
          <w:rFonts w:ascii="楷体" w:hAnsi="楷体" w:eastAsia="楷体"/>
          <w:b/>
          <w:bCs/>
          <w:szCs w:val="21"/>
        </w:rPr>
        <w:t>未开通专属账户</w:t>
      </w:r>
      <w:r>
        <w:rPr>
          <w:rFonts w:hint="eastAsia" w:ascii="楷体" w:hAnsi="楷体" w:eastAsia="楷体"/>
          <w:b/>
          <w:bCs/>
          <w:szCs w:val="21"/>
        </w:rPr>
        <w:t>：</w:t>
      </w:r>
    </w:p>
    <w:p>
      <w:pPr>
        <w:pStyle w:val="12"/>
        <w:ind w:left="420" w:firstLine="0" w:firstLineChars="0"/>
        <w:rPr>
          <w:rFonts w:ascii="楷体" w:hAnsi="楷体" w:eastAsia="楷体"/>
          <w:bCs/>
          <w:szCs w:val="21"/>
        </w:rPr>
      </w:pPr>
      <w:r>
        <w:rPr>
          <w:rFonts w:hint="eastAsia" w:ascii="楷体" w:hAnsi="楷体" w:eastAsia="楷体"/>
          <w:bCs/>
          <w:szCs w:val="21"/>
        </w:rPr>
        <w:t>甲方实体</w:t>
      </w:r>
      <w:bookmarkStart w:id="4" w:name="OLE_LINK2"/>
      <w:bookmarkStart w:id="5" w:name="OLE_LINK1"/>
      <w:r>
        <w:rPr>
          <w:rFonts w:hint="eastAsia" w:ascii="楷体" w:hAnsi="楷体" w:eastAsia="楷体"/>
          <w:bCs/>
          <w:szCs w:val="21"/>
        </w:rPr>
        <w:t>特约商户或网络特约商户的客户</w:t>
      </w:r>
      <w:bookmarkEnd w:id="4"/>
      <w:bookmarkEnd w:id="5"/>
      <w:r>
        <w:rPr>
          <w:rFonts w:hint="eastAsia" w:ascii="楷体" w:hAnsi="楷体" w:eastAsia="楷体"/>
          <w:bCs/>
          <w:szCs w:val="21"/>
        </w:rPr>
        <w:t>，通过受理终端向甲方支付的交易资金，乙方扣除首页约定相应手续费后，按首页约定的结算周期，结算至甲方银行账户。（首页表格中未勾选开通专属账户，则默认为未开通专属账户结算）</w:t>
      </w:r>
    </w:p>
    <w:p>
      <w:pPr>
        <w:pStyle w:val="12"/>
        <w:ind w:left="420" w:firstLine="0" w:firstLineChars="0"/>
        <w:rPr>
          <w:rFonts w:ascii="楷体" w:hAnsi="楷体" w:eastAsia="楷体"/>
          <w:b/>
          <w:bCs/>
          <w:szCs w:val="21"/>
        </w:rPr>
      </w:pPr>
      <w:r>
        <w:rPr>
          <w:rFonts w:ascii="楷体" w:hAnsi="楷体" w:eastAsia="楷体"/>
          <w:b/>
          <w:bCs/>
          <w:szCs w:val="21"/>
        </w:rPr>
        <w:t>开通专属账户</w:t>
      </w:r>
      <w:r>
        <w:rPr>
          <w:rFonts w:hint="eastAsia" w:ascii="楷体" w:hAnsi="楷体" w:eastAsia="楷体"/>
          <w:b/>
          <w:bCs/>
          <w:szCs w:val="21"/>
        </w:rPr>
        <w:t>：</w:t>
      </w:r>
    </w:p>
    <w:p>
      <w:pPr>
        <w:ind w:firstLine="420" w:firstLineChars="200"/>
        <w:rPr>
          <w:rFonts w:ascii="楷体" w:hAnsi="楷体" w:eastAsia="楷体"/>
          <w:bCs/>
          <w:szCs w:val="21"/>
        </w:rPr>
      </w:pPr>
      <w:r>
        <w:rPr>
          <w:rFonts w:hint="eastAsia" w:ascii="楷体" w:hAnsi="楷体" w:eastAsia="楷体"/>
          <w:bCs/>
          <w:szCs w:val="21"/>
        </w:rPr>
        <w:t>甲方实体特约商户或网络特约商户的客户，通过受理终端向甲方支付的交易资金，乙方扣除首页约定相应手续费后，按首页约定的结算周期，结算至甲方专属账户，待乙方收到甲方发起的提现指令后，再将前述交易资金结算至甲方的银行账户。</w:t>
      </w:r>
      <w:r>
        <w:rPr>
          <w:rFonts w:ascii="楷体" w:hAnsi="楷体" w:eastAsia="楷体"/>
          <w:bCs/>
          <w:szCs w:val="21"/>
        </w:rPr>
        <w:t xml:space="preserve"> </w:t>
      </w:r>
    </w:p>
    <w:p>
      <w:pPr>
        <w:pStyle w:val="12"/>
        <w:numPr>
          <w:ilvl w:val="0"/>
          <w:numId w:val="10"/>
        </w:numPr>
        <w:ind w:firstLineChars="0"/>
        <w:rPr>
          <w:rFonts w:ascii="楷体" w:hAnsi="楷体" w:eastAsia="楷体"/>
          <w:b/>
          <w:szCs w:val="21"/>
        </w:rPr>
      </w:pPr>
      <w:r>
        <w:rPr>
          <w:rFonts w:hint="eastAsia" w:ascii="楷体" w:hAnsi="楷体" w:eastAsia="楷体"/>
          <w:b/>
          <w:szCs w:val="21"/>
        </w:rPr>
        <w:t>银行卡收单产品：甲方实体商户的客户，通过布放于甲方的乙方受理终端向甲方支付的交易资金，乙方扣除首页约定相应手续费后，结算至甲方</w:t>
      </w:r>
      <w:r>
        <w:rPr>
          <w:rFonts w:ascii="楷体" w:hAnsi="楷体" w:eastAsia="楷体"/>
          <w:b/>
          <w:szCs w:val="21"/>
        </w:rPr>
        <w:t>指定</w:t>
      </w:r>
      <w:r>
        <w:rPr>
          <w:rFonts w:hint="eastAsia" w:ascii="楷体" w:hAnsi="楷体" w:eastAsia="楷体"/>
          <w:b/>
          <w:szCs w:val="21"/>
        </w:rPr>
        <w:t>账户，乙方就该项交易资金的收单义务完整履行完毕。</w:t>
      </w:r>
    </w:p>
    <w:p>
      <w:pPr>
        <w:pStyle w:val="12"/>
        <w:numPr>
          <w:ilvl w:val="0"/>
          <w:numId w:val="10"/>
        </w:numPr>
        <w:ind w:firstLineChars="0"/>
        <w:rPr>
          <w:rFonts w:ascii="楷体_GB2312" w:hAnsi="Times New Roman" w:eastAsia="楷体_GB2312" w:cs="Times New Roman"/>
          <w:bCs/>
          <w:szCs w:val="21"/>
        </w:rPr>
      </w:pPr>
      <w:r>
        <w:rPr>
          <w:rFonts w:ascii="楷体" w:hAnsi="楷体" w:eastAsia="楷体"/>
          <w:bCs/>
          <w:szCs w:val="21"/>
        </w:rPr>
        <w:t>银行卡</w:t>
      </w:r>
      <w:r>
        <w:rPr>
          <w:rFonts w:hint="eastAsia" w:ascii="楷体" w:hAnsi="楷体" w:eastAsia="楷体"/>
          <w:bCs/>
          <w:szCs w:val="21"/>
        </w:rPr>
        <w:t>收单结算规则：</w:t>
      </w:r>
    </w:p>
    <w:p>
      <w:pPr>
        <w:pStyle w:val="12"/>
        <w:numPr>
          <w:ilvl w:val="0"/>
          <w:numId w:val="11"/>
        </w:numPr>
        <w:adjustRightInd w:val="0"/>
        <w:snapToGrid w:val="0"/>
        <w:ind w:firstLineChars="0"/>
        <w:rPr>
          <w:rFonts w:ascii="楷体_GB2312" w:hAnsi="Times New Roman" w:eastAsia="楷体_GB2312" w:cs="Times New Roman"/>
          <w:bCs/>
          <w:szCs w:val="21"/>
        </w:rPr>
      </w:pPr>
      <w:r>
        <w:rPr>
          <w:rFonts w:hint="eastAsia" w:ascii="楷体_GB2312" w:hAnsi="Times New Roman" w:eastAsia="楷体_GB2312" w:cs="Times New Roman"/>
          <w:bCs/>
          <w:szCs w:val="21"/>
        </w:rPr>
        <w:t>T+</w:t>
      </w:r>
      <w:r>
        <w:rPr>
          <w:rFonts w:ascii="楷体_GB2312" w:hAnsi="Times New Roman" w:eastAsia="楷体_GB2312" w:cs="Times New Roman"/>
          <w:bCs/>
          <w:szCs w:val="21"/>
        </w:rPr>
        <w:t>1</w:t>
      </w:r>
      <w:r>
        <w:rPr>
          <w:rFonts w:hint="eastAsia" w:ascii="楷体_GB2312" w:hAnsi="Times New Roman" w:eastAsia="楷体_GB2312" w:cs="Times New Roman"/>
          <w:bCs/>
          <w:szCs w:val="21"/>
        </w:rPr>
        <w:t>日结算：</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乙方将T日成功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），于</w:t>
      </w:r>
      <w:r>
        <w:rPr>
          <w:rFonts w:ascii="楷体_GB2312" w:hAnsi="Times New Roman" w:eastAsia="楷体_GB2312" w:cs="Times New Roman"/>
          <w:szCs w:val="21"/>
        </w:rPr>
        <w:t>T</w:t>
      </w:r>
      <w:r>
        <w:rPr>
          <w:rFonts w:hint="eastAsia" w:ascii="楷体_GB2312" w:hAnsi="Times New Roman" w:eastAsia="楷体_GB2312" w:cs="Times New Roman"/>
          <w:szCs w:val="21"/>
        </w:rPr>
        <w:t>+</w:t>
      </w:r>
      <w:r>
        <w:rPr>
          <w:rFonts w:ascii="楷体_GB2312" w:hAnsi="Times New Roman" w:eastAsia="楷体_GB2312" w:cs="Times New Roman"/>
          <w:szCs w:val="21"/>
        </w:rPr>
        <w:t>1</w:t>
      </w:r>
      <w:r>
        <w:rPr>
          <w:rFonts w:hint="eastAsia" w:ascii="楷体_GB2312" w:hAnsi="Times New Roman" w:eastAsia="楷体_GB2312" w:cs="Times New Roman"/>
          <w:szCs w:val="21"/>
        </w:rPr>
        <w:t>日</w:t>
      </w:r>
      <w:r>
        <w:rPr>
          <w:rFonts w:ascii="楷体_GB2312" w:hAnsi="Times New Roman" w:eastAsia="楷体_GB2312" w:cs="Times New Roman"/>
          <w:szCs w:val="21"/>
        </w:rPr>
        <w:t>结算</w:t>
      </w:r>
      <w:r>
        <w:rPr>
          <w:rFonts w:hint="eastAsia" w:ascii="楷体_GB2312" w:hAnsi="Times New Roman" w:eastAsia="楷体_GB2312" w:cs="Times New Roman"/>
          <w:szCs w:val="21"/>
        </w:rPr>
        <w:t>至甲方</w:t>
      </w:r>
      <w:r>
        <w:rPr>
          <w:rFonts w:ascii="楷体_GB2312" w:hAnsi="Times New Roman" w:eastAsia="楷体_GB2312" w:cs="Times New Roman"/>
          <w:szCs w:val="21"/>
        </w:rPr>
        <w:t>指定账户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r>
        <w:rPr>
          <w:rFonts w:hint="eastAsia" w:ascii="楷体_GB2312" w:hAnsi="Times New Roman" w:eastAsia="楷体_GB2312" w:cs="Times New Roman"/>
          <w:b/>
          <w:szCs w:val="21"/>
        </w:rPr>
        <w:t>未开通增值业务快速结算功能则</w:t>
      </w:r>
      <w:r>
        <w:rPr>
          <w:rFonts w:ascii="楷体" w:hAnsi="楷体" w:eastAsia="楷体"/>
          <w:b/>
          <w:szCs w:val="21"/>
        </w:rPr>
        <w:t>银行卡</w:t>
      </w:r>
      <w:r>
        <w:rPr>
          <w:rFonts w:hint="eastAsia" w:ascii="楷体" w:hAnsi="楷体" w:eastAsia="楷体"/>
          <w:b/>
          <w:szCs w:val="21"/>
        </w:rPr>
        <w:t>收单结算规则</w:t>
      </w:r>
      <w:r>
        <w:rPr>
          <w:rFonts w:hint="eastAsia" w:ascii="楷体_GB2312" w:hAnsi="Times New Roman" w:eastAsia="楷体_GB2312" w:cs="Times New Roman"/>
          <w:b/>
          <w:szCs w:val="21"/>
        </w:rPr>
        <w:t>默认为T+</w:t>
      </w:r>
      <w:r>
        <w:rPr>
          <w:rFonts w:ascii="楷体_GB2312" w:hAnsi="Times New Roman" w:eastAsia="楷体_GB2312" w:cs="Times New Roman"/>
          <w:b/>
          <w:szCs w:val="21"/>
        </w:rPr>
        <w:t>1</w:t>
      </w:r>
      <w:r>
        <w:rPr>
          <w:rFonts w:hint="eastAsia" w:ascii="楷体_GB2312" w:hAnsi="Times New Roman" w:eastAsia="楷体_GB2312" w:cs="Times New Roman"/>
          <w:b/>
          <w:szCs w:val="21"/>
        </w:rPr>
        <w:t>日结算。</w:t>
      </w:r>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D+0日结算：</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乙方将D+0日成功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），于D+0日</w:t>
      </w:r>
      <w:r>
        <w:rPr>
          <w:rFonts w:ascii="楷体_GB2312" w:hAnsi="Times New Roman" w:eastAsia="楷体_GB2312" w:cs="Times New Roman"/>
          <w:szCs w:val="21"/>
        </w:rPr>
        <w:t>当日</w:t>
      </w:r>
      <w:r>
        <w:rPr>
          <w:rFonts w:hint="eastAsia" w:ascii="楷体_GB2312" w:hAnsi="Times New Roman" w:eastAsia="楷体_GB2312" w:cs="Times New Roman"/>
          <w:szCs w:val="21"/>
        </w:rPr>
        <w:t>扣除D+0增值</w:t>
      </w:r>
      <w:r>
        <w:rPr>
          <w:rFonts w:ascii="楷体_GB2312" w:hAnsi="Times New Roman" w:eastAsia="楷体_GB2312" w:cs="Times New Roman"/>
          <w:szCs w:val="21"/>
        </w:rPr>
        <w:t>服务手续费</w:t>
      </w:r>
      <w:r>
        <w:rPr>
          <w:rFonts w:hint="eastAsia" w:ascii="楷体_GB2312" w:hAnsi="Times New Roman" w:eastAsia="楷体_GB2312" w:cs="Times New Roman"/>
          <w:szCs w:val="21"/>
        </w:rPr>
        <w:t>后</w:t>
      </w:r>
      <w:r>
        <w:rPr>
          <w:rFonts w:ascii="楷体_GB2312" w:hAnsi="Times New Roman" w:eastAsia="楷体_GB2312" w:cs="Times New Roman"/>
          <w:szCs w:val="21"/>
        </w:rPr>
        <w:t>结算</w:t>
      </w:r>
      <w:r>
        <w:rPr>
          <w:rFonts w:hint="eastAsia" w:ascii="楷体_GB2312" w:hAnsi="Times New Roman" w:eastAsia="楷体_GB2312" w:cs="Times New Roman"/>
          <w:szCs w:val="21"/>
        </w:rPr>
        <w:t>至甲方指定</w:t>
      </w:r>
      <w:r>
        <w:rPr>
          <w:rFonts w:ascii="楷体_GB2312" w:hAnsi="Times New Roman" w:eastAsia="楷体_GB2312" w:cs="Times New Roman"/>
          <w:szCs w:val="21"/>
        </w:rPr>
        <w:t>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D+1</w:t>
      </w:r>
      <w:r>
        <w:rPr>
          <w:rFonts w:hint="eastAsia" w:ascii="楷体_GB2312" w:hAnsi="Times New Roman" w:eastAsia="楷体_GB2312" w:cs="Times New Roman"/>
          <w:bCs/>
          <w:szCs w:val="21"/>
        </w:rPr>
        <w:t>日</w:t>
      </w:r>
      <w:r>
        <w:rPr>
          <w:rFonts w:hint="eastAsia" w:ascii="楷体_GB2312" w:hAnsi="Times New Roman" w:eastAsia="楷体_GB2312" w:cs="Times New Roman"/>
          <w:szCs w:val="21"/>
        </w:rPr>
        <w:t>结算：</w:t>
      </w:r>
      <w:bookmarkStart w:id="6" w:name="OLE_LINK8"/>
      <w:bookmarkStart w:id="7" w:name="OLE_LINK6"/>
      <w:bookmarkStart w:id="8" w:name="OLE_LINK9"/>
      <w:bookmarkStart w:id="9" w:name="OLE_LINK4"/>
      <w:bookmarkStart w:id="10" w:name="OLE_LINK7"/>
      <w:bookmarkStart w:id="11" w:name="OLE_LINK5"/>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乙方将D+0日</w:t>
      </w:r>
      <w:r>
        <w:rPr>
          <w:rFonts w:ascii="楷体_GB2312" w:hAnsi="Times New Roman" w:eastAsia="楷体_GB2312" w:cs="Times New Roman"/>
          <w:szCs w:val="21"/>
        </w:rPr>
        <w:t>成功交易的待结算资金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w:t>
      </w:r>
      <w:r>
        <w:rPr>
          <w:rFonts w:hint="eastAsia" w:ascii="楷体_GB2312" w:hAnsi="Times New Roman" w:eastAsia="楷体_GB2312" w:cs="Times New Roman"/>
          <w:szCs w:val="21"/>
        </w:rPr>
        <w:t>D+0日次日扣除D+1增值</w:t>
      </w:r>
      <w:r>
        <w:rPr>
          <w:rFonts w:ascii="楷体_GB2312" w:hAnsi="Times New Roman" w:eastAsia="楷体_GB2312" w:cs="Times New Roman"/>
          <w:szCs w:val="21"/>
        </w:rPr>
        <w:t>服务手续费</w:t>
      </w:r>
      <w:r>
        <w:rPr>
          <w:rFonts w:hint="eastAsia" w:ascii="楷体_GB2312" w:hAnsi="Times New Roman" w:eastAsia="楷体_GB2312" w:cs="Times New Roman"/>
          <w:szCs w:val="21"/>
        </w:rPr>
        <w:t>后</w:t>
      </w:r>
      <w:r>
        <w:rPr>
          <w:rFonts w:ascii="楷体_GB2312" w:hAnsi="Times New Roman" w:eastAsia="楷体_GB2312" w:cs="Times New Roman"/>
          <w:szCs w:val="21"/>
        </w:rPr>
        <w:t>自动结算至甲方指定账户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bookmarkEnd w:id="6"/>
      <w:bookmarkEnd w:id="7"/>
      <w:bookmarkEnd w:id="8"/>
      <w:bookmarkEnd w:id="9"/>
      <w:bookmarkEnd w:id="10"/>
      <w:bookmarkEnd w:id="11"/>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TS结算：</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乙方将D+0日成功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），扣除增值服务手续费后即时结算至甲方</w:t>
      </w:r>
      <w:r>
        <w:rPr>
          <w:rFonts w:ascii="楷体_GB2312" w:hAnsi="Times New Roman" w:eastAsia="楷体_GB2312" w:cs="Times New Roman"/>
          <w:szCs w:val="21"/>
        </w:rPr>
        <w:t>指定</w:t>
      </w:r>
      <w:r>
        <w:rPr>
          <w:rFonts w:hint="eastAsia" w:ascii="楷体_GB2312" w:hAnsi="Times New Roman" w:eastAsia="楷体_GB2312" w:cs="Times New Roman"/>
          <w:szCs w:val="21"/>
        </w:rPr>
        <w:t>账户的服务。</w:t>
      </w:r>
    </w:p>
    <w:p>
      <w:pPr>
        <w:pStyle w:val="12"/>
        <w:numPr>
          <w:ilvl w:val="0"/>
          <w:numId w:val="11"/>
        </w:numPr>
        <w:adjustRightInd w:val="0"/>
        <w:snapToGrid w:val="0"/>
        <w:ind w:firstLineChars="0"/>
        <w:rPr>
          <w:rFonts w:ascii="楷体_GB2312" w:hAnsi="Times New Roman" w:eastAsia="楷体_GB2312" w:cs="Times New Roman"/>
          <w:szCs w:val="21"/>
        </w:rPr>
      </w:pPr>
      <w:bookmarkStart w:id="12" w:name="OLE_LINK11"/>
      <w:bookmarkStart w:id="13" w:name="OLE_LINK14"/>
      <w:bookmarkStart w:id="14" w:name="OLE_LINK10"/>
      <w:bookmarkStart w:id="15" w:name="OLE_LINK12"/>
      <w:bookmarkStart w:id="16" w:name="OLE_LINK13"/>
      <w:bookmarkStart w:id="17" w:name="OLE_LINK15"/>
      <w:bookmarkStart w:id="18" w:name="OLE_LINK17"/>
      <w:bookmarkStart w:id="19" w:name="OLE_LINK16"/>
      <w:r>
        <w:rPr>
          <w:rFonts w:ascii="楷体_GB2312" w:hAnsi="Times New Roman" w:eastAsia="楷体_GB2312" w:cs="Times New Roman"/>
          <w:szCs w:val="21"/>
        </w:rPr>
        <w:t>自定义时间结算</w:t>
      </w:r>
      <w:r>
        <w:rPr>
          <w:rFonts w:hint="eastAsia" w:ascii="楷体_GB2312" w:hAnsi="Times New Roman" w:eastAsia="楷体_GB2312" w:cs="Times New Roman"/>
          <w:szCs w:val="21"/>
        </w:rPr>
        <w:t>：</w:t>
      </w:r>
      <w:r>
        <w:rPr>
          <w:rFonts w:ascii="楷体_GB2312" w:hAnsi="Times New Roman" w:eastAsia="楷体_GB2312" w:cs="Times New Roman"/>
          <w:szCs w:val="21"/>
        </w:rPr>
        <w:t>经</w:t>
      </w:r>
      <w:r>
        <w:rPr>
          <w:rFonts w:hint="eastAsia" w:ascii="楷体_GB2312" w:hAnsi="Times New Roman" w:eastAsia="楷体_GB2312" w:cs="Times New Roman"/>
          <w:szCs w:val="21"/>
        </w:rPr>
        <w:t>甲方于受理终端管理平台</w:t>
      </w:r>
      <w:r>
        <w:rPr>
          <w:rFonts w:ascii="楷体_GB2312" w:hAnsi="Times New Roman" w:eastAsia="楷体_GB2312" w:cs="Times New Roman"/>
          <w:szCs w:val="21"/>
        </w:rPr>
        <w:t>发起</w:t>
      </w:r>
      <w:r>
        <w:rPr>
          <w:rFonts w:hint="eastAsia" w:ascii="楷体_GB2312" w:hAnsi="Times New Roman" w:eastAsia="楷体_GB2312" w:cs="Times New Roman"/>
          <w:szCs w:val="21"/>
        </w:rPr>
        <w:t>授权</w:t>
      </w:r>
      <w:r>
        <w:rPr>
          <w:rFonts w:ascii="楷体_GB2312" w:hAnsi="Times New Roman" w:eastAsia="楷体_GB2312" w:cs="Times New Roman"/>
          <w:szCs w:val="21"/>
        </w:rPr>
        <w:t>，</w:t>
      </w:r>
      <w:r>
        <w:rPr>
          <w:rFonts w:hint="eastAsia" w:ascii="楷体_GB2312" w:hAnsi="Times New Roman" w:eastAsia="楷体_GB2312" w:cs="Times New Roman"/>
          <w:szCs w:val="21"/>
        </w:rPr>
        <w:t>乙方将自定义时间</w:t>
      </w:r>
      <w:r>
        <w:rPr>
          <w:rFonts w:ascii="楷体_GB2312" w:hAnsi="Times New Roman" w:eastAsia="楷体_GB2312" w:cs="Times New Roman"/>
          <w:szCs w:val="21"/>
        </w:rPr>
        <w:t>成功交易的待结算资金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w:t>
      </w:r>
      <w:r>
        <w:rPr>
          <w:rFonts w:hint="eastAsia" w:ascii="楷体_GB2312" w:hAnsi="Times New Roman" w:eastAsia="楷体_GB2312" w:cs="Times New Roman"/>
          <w:szCs w:val="21"/>
        </w:rPr>
        <w:t>次日（如同时选择D+</w:t>
      </w:r>
      <w:r>
        <w:rPr>
          <w:rFonts w:ascii="楷体_GB2312" w:hAnsi="Times New Roman" w:eastAsia="楷体_GB2312" w:cs="Times New Roman"/>
          <w:szCs w:val="21"/>
        </w:rPr>
        <w:t>0日结算</w:t>
      </w:r>
      <w:r>
        <w:rPr>
          <w:rFonts w:hint="eastAsia" w:ascii="楷体_GB2312" w:hAnsi="Times New Roman" w:eastAsia="楷体_GB2312" w:cs="Times New Roman"/>
          <w:szCs w:val="21"/>
        </w:rPr>
        <w:t>）扣除D+</w:t>
      </w:r>
      <w:r>
        <w:rPr>
          <w:rFonts w:ascii="楷体_GB2312" w:hAnsi="Times New Roman" w:eastAsia="楷体_GB2312" w:cs="Times New Roman"/>
          <w:szCs w:val="21"/>
        </w:rPr>
        <w:t>0增值服务手续费后结算至甲方指定账户的服务或者</w:t>
      </w:r>
      <w:r>
        <w:rPr>
          <w:rFonts w:hint="eastAsia" w:ascii="楷体_GB2312" w:hAnsi="Times New Roman" w:eastAsia="楷体_GB2312" w:cs="Times New Roman"/>
          <w:szCs w:val="21"/>
        </w:rPr>
        <w:t>于T+</w:t>
      </w:r>
      <w:r>
        <w:rPr>
          <w:rFonts w:ascii="楷体_GB2312" w:hAnsi="Times New Roman" w:eastAsia="楷体_GB2312" w:cs="Times New Roman"/>
          <w:szCs w:val="21"/>
        </w:rPr>
        <w:t>1日</w:t>
      </w:r>
      <w:r>
        <w:rPr>
          <w:rFonts w:hint="eastAsia" w:ascii="楷体_GB2312" w:hAnsi="Times New Roman" w:eastAsia="楷体_GB2312" w:cs="Times New Roman"/>
          <w:szCs w:val="21"/>
        </w:rPr>
        <w:t>（如同时选择T+</w:t>
      </w:r>
      <w:r>
        <w:rPr>
          <w:rFonts w:ascii="楷体_GB2312" w:hAnsi="Times New Roman" w:eastAsia="楷体_GB2312" w:cs="Times New Roman"/>
          <w:szCs w:val="21"/>
        </w:rPr>
        <w:t>1日结算</w:t>
      </w:r>
      <w:r>
        <w:rPr>
          <w:rFonts w:hint="eastAsia" w:ascii="楷体_GB2312" w:hAnsi="Times New Roman" w:eastAsia="楷体_GB2312" w:cs="Times New Roman"/>
          <w:szCs w:val="21"/>
        </w:rPr>
        <w:t>）</w:t>
      </w:r>
      <w:r>
        <w:rPr>
          <w:rFonts w:ascii="楷体_GB2312" w:hAnsi="Times New Roman" w:eastAsia="楷体_GB2312" w:cs="Times New Roman"/>
          <w:szCs w:val="21"/>
        </w:rPr>
        <w:t>结算至甲方指定账户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bookmarkEnd w:id="12"/>
    <w:bookmarkEnd w:id="13"/>
    <w:bookmarkEnd w:id="14"/>
    <w:bookmarkEnd w:id="15"/>
    <w:bookmarkEnd w:id="16"/>
    <w:bookmarkEnd w:id="17"/>
    <w:bookmarkEnd w:id="18"/>
    <w:bookmarkEnd w:id="19"/>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入网不满90日或者入网后连续正常交易不满30日的商户，乙</w:t>
      </w:r>
      <w:permStart w:id="106" w:edGrp="everyone"/>
      <w:permEnd w:id="106"/>
      <w:r>
        <w:rPr>
          <w:rFonts w:hint="eastAsia" w:ascii="楷体_GB2312" w:hAnsi="Times New Roman" w:eastAsia="楷体_GB2312" w:cs="Times New Roman"/>
          <w:szCs w:val="21"/>
        </w:rPr>
        <w:t>方有权不向其提供上述</w:t>
      </w:r>
      <w:r>
        <w:rPr>
          <w:rFonts w:ascii="楷体_GB2312" w:hAnsi="Times New Roman" w:eastAsia="楷体_GB2312" w:cs="Times New Roman"/>
          <w:szCs w:val="21"/>
        </w:rPr>
        <w:t>服务</w:t>
      </w:r>
      <w:r>
        <w:rPr>
          <w:rFonts w:hint="eastAsia" w:ascii="楷体_GB2312" w:hAnsi="Times New Roman" w:eastAsia="楷体_GB2312" w:cs="Times New Roman"/>
          <w:szCs w:val="21"/>
        </w:rPr>
        <w:t>。</w:t>
      </w:r>
    </w:p>
    <w:p>
      <w:pPr>
        <w:pStyle w:val="12"/>
        <w:numPr>
          <w:ilvl w:val="0"/>
          <w:numId w:val="11"/>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乙方有权根据甲方资信状况或者银行、监管机构的风险控制要求等因素调整上述交易限额或暂停向甲方提供本协议</w:t>
      </w:r>
      <w:r>
        <w:rPr>
          <w:rFonts w:ascii="楷体_GB2312" w:hAnsi="Times New Roman" w:eastAsia="楷体_GB2312" w:cs="Times New Roman"/>
          <w:szCs w:val="21"/>
        </w:rPr>
        <w:t>约定的</w:t>
      </w:r>
      <w:r>
        <w:rPr>
          <w:rFonts w:hint="eastAsia" w:ascii="楷体_GB2312" w:hAnsi="Times New Roman" w:eastAsia="楷体_GB2312" w:cs="Times New Roman"/>
          <w:szCs w:val="21"/>
        </w:rPr>
        <w:t>增值服务。</w:t>
      </w:r>
    </w:p>
    <w:p>
      <w:pPr>
        <w:pStyle w:val="12"/>
        <w:numPr>
          <w:ilvl w:val="0"/>
          <w:numId w:val="10"/>
        </w:numPr>
        <w:ind w:firstLineChars="0"/>
        <w:rPr>
          <w:rFonts w:ascii="楷体" w:hAnsi="楷体" w:eastAsia="楷体"/>
          <w:b/>
          <w:szCs w:val="21"/>
        </w:rPr>
      </w:pPr>
      <w:r>
        <w:rPr>
          <w:rFonts w:hint="eastAsia" w:ascii="楷体" w:hAnsi="楷体" w:eastAsia="楷体"/>
          <w:b/>
          <w:szCs w:val="21"/>
        </w:rPr>
        <w:t>花呗分期产品：</w:t>
      </w:r>
    </w:p>
    <w:p>
      <w:pPr>
        <w:pStyle w:val="12"/>
        <w:numPr>
          <w:ilvl w:val="0"/>
          <w:numId w:val="12"/>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w:t>
      </w:r>
      <w:r>
        <w:rPr>
          <w:rFonts w:ascii="楷体_GB2312" w:hAnsi="Times New Roman" w:eastAsia="楷体_GB2312" w:cs="Times New Roman"/>
          <w:szCs w:val="21"/>
        </w:rPr>
        <w:t>花呗分期产品结算周期默认</w:t>
      </w:r>
      <w:r>
        <w:rPr>
          <w:rFonts w:hint="eastAsia" w:ascii="楷体_GB2312" w:hAnsi="Times New Roman" w:eastAsia="楷体_GB2312" w:cs="Times New Roman"/>
          <w:szCs w:val="21"/>
        </w:rPr>
        <w:t>与</w:t>
      </w:r>
      <w:r>
        <w:rPr>
          <w:rFonts w:ascii="楷体_GB2312" w:hAnsi="Times New Roman" w:eastAsia="楷体_GB2312" w:cs="Times New Roman"/>
          <w:szCs w:val="21"/>
        </w:rPr>
        <w:t>银行卡收单产品一致</w:t>
      </w:r>
      <w:r>
        <w:rPr>
          <w:rFonts w:hint="eastAsia" w:ascii="楷体_GB2312" w:hAnsi="Times New Roman" w:eastAsia="楷体_GB2312" w:cs="Times New Roman"/>
          <w:szCs w:val="21"/>
        </w:rPr>
        <w:t>，乙方在成功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待结算资金中</w:t>
      </w:r>
      <w:r>
        <w:rPr>
          <w:rFonts w:hint="eastAsia" w:ascii="楷体_GB2312" w:hAnsi="Times New Roman" w:eastAsia="楷体_GB2312" w:cs="Times New Roman"/>
          <w:szCs w:val="21"/>
        </w:rPr>
        <w:t>扣除首页约定相应手续费后，结算至甲方指定账户。甲方知悉，甲方使用花呗分期业务时，如选择开通代偿模式的，则乙方于成功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）中扣除代偿模式服务费后结算至甲方指定账户。</w:t>
      </w:r>
    </w:p>
    <w:p>
      <w:pPr>
        <w:pStyle w:val="12"/>
        <w:numPr>
          <w:ilvl w:val="0"/>
          <w:numId w:val="12"/>
        </w:numPr>
        <w:spacing w:after="120"/>
        <w:ind w:firstLineChars="0"/>
        <w:rPr>
          <w:rFonts w:ascii="楷体_GB2312" w:eastAsia="楷体_GB2312"/>
          <w:sz w:val="20"/>
          <w:szCs w:val="18"/>
        </w:rPr>
      </w:pPr>
      <w:r>
        <w:rPr>
          <w:rFonts w:ascii="楷体_GB2312" w:eastAsia="楷体_GB2312"/>
          <w:sz w:val="20"/>
          <w:szCs w:val="18"/>
        </w:rPr>
        <w:t>若甲方开通花呗分期功能</w:t>
      </w:r>
      <w:r>
        <w:rPr>
          <w:rFonts w:hint="eastAsia" w:ascii="楷体_GB2312" w:eastAsia="楷体_GB2312"/>
          <w:sz w:val="20"/>
          <w:szCs w:val="18"/>
        </w:rPr>
        <w:t>，根据银行、蚂蚁小贷或支付宝有关管理规定，若出现缺货、无法运货、无法提供服务、客户撤销交易等情形并需做退款处理的情况应当通过原收款路径进行退款，但乙方不退回原交易手续费。前述需做退款处理的情况若交易发生未超过1</w:t>
      </w:r>
      <w:r>
        <w:rPr>
          <w:rFonts w:ascii="楷体_GB2312" w:eastAsia="楷体_GB2312"/>
          <w:sz w:val="20"/>
          <w:szCs w:val="18"/>
        </w:rPr>
        <w:t>5天</w:t>
      </w:r>
      <w:r>
        <w:rPr>
          <w:rFonts w:hint="eastAsia" w:ascii="楷体_GB2312" w:eastAsia="楷体_GB2312"/>
          <w:sz w:val="20"/>
          <w:szCs w:val="18"/>
        </w:rPr>
        <w:t>，</w:t>
      </w:r>
      <w:r>
        <w:rPr>
          <w:rFonts w:ascii="楷体_GB2312" w:eastAsia="楷体_GB2312"/>
          <w:sz w:val="20"/>
          <w:szCs w:val="18"/>
        </w:rPr>
        <w:t>则乙方须退回花呗分期手续费</w:t>
      </w:r>
      <w:r>
        <w:rPr>
          <w:rFonts w:hint="eastAsia" w:ascii="楷体_GB2312" w:eastAsia="楷体_GB2312"/>
          <w:sz w:val="20"/>
          <w:szCs w:val="18"/>
        </w:rPr>
        <w:t>，</w:t>
      </w:r>
      <w:r>
        <w:rPr>
          <w:rFonts w:ascii="楷体_GB2312" w:eastAsia="楷体_GB2312"/>
          <w:sz w:val="20"/>
          <w:szCs w:val="18"/>
        </w:rPr>
        <w:t>若交易</w:t>
      </w:r>
      <w:r>
        <w:rPr>
          <w:rFonts w:hint="eastAsia" w:ascii="楷体_GB2312" w:eastAsia="楷体_GB2312"/>
          <w:sz w:val="20"/>
          <w:szCs w:val="18"/>
        </w:rPr>
        <w:t>发生已超过1</w:t>
      </w:r>
      <w:r>
        <w:rPr>
          <w:rFonts w:ascii="楷体_GB2312" w:eastAsia="楷体_GB2312"/>
          <w:sz w:val="20"/>
          <w:szCs w:val="18"/>
        </w:rPr>
        <w:t>5天</w:t>
      </w:r>
      <w:r>
        <w:rPr>
          <w:rFonts w:hint="eastAsia" w:ascii="楷体_GB2312" w:eastAsia="楷体_GB2312"/>
          <w:sz w:val="20"/>
          <w:szCs w:val="18"/>
        </w:rPr>
        <w:t>，</w:t>
      </w:r>
      <w:r>
        <w:rPr>
          <w:rFonts w:ascii="楷体_GB2312" w:eastAsia="楷体_GB2312"/>
          <w:sz w:val="20"/>
          <w:szCs w:val="18"/>
        </w:rPr>
        <w:t>则</w:t>
      </w:r>
      <w:r>
        <w:rPr>
          <w:rFonts w:hint="eastAsia" w:ascii="楷体_GB2312" w:eastAsia="楷体_GB2312"/>
          <w:sz w:val="20"/>
          <w:szCs w:val="18"/>
        </w:rPr>
        <w:t>乙方不退回花呗分期手续费。根据蚂蚁小贷有关管理规定，</w:t>
      </w:r>
      <w:r>
        <w:rPr>
          <w:rFonts w:ascii="楷体_GB2312" w:eastAsia="楷体_GB2312"/>
          <w:sz w:val="20"/>
          <w:szCs w:val="18"/>
        </w:rPr>
        <w:t>若甲方所涉交易包括但不限于套现、虚假交易等特殊情况以及付款人</w:t>
      </w:r>
      <w:r>
        <w:rPr>
          <w:rFonts w:hint="eastAsia" w:ascii="楷体_GB2312" w:eastAsia="楷体_GB2312"/>
          <w:sz w:val="20"/>
          <w:szCs w:val="18"/>
        </w:rPr>
        <w:t>（</w:t>
      </w:r>
      <w:r>
        <w:rPr>
          <w:rFonts w:ascii="楷体_GB2312" w:eastAsia="楷体_GB2312"/>
          <w:sz w:val="20"/>
          <w:szCs w:val="18"/>
        </w:rPr>
        <w:t>持卡人</w:t>
      </w:r>
      <w:r>
        <w:rPr>
          <w:rFonts w:hint="eastAsia" w:ascii="楷体_GB2312" w:eastAsia="楷体_GB2312"/>
          <w:sz w:val="20"/>
          <w:szCs w:val="18"/>
        </w:rPr>
        <w:t>）</w:t>
      </w:r>
      <w:r>
        <w:rPr>
          <w:rFonts w:ascii="楷体_GB2312" w:eastAsia="楷体_GB2312"/>
          <w:sz w:val="20"/>
          <w:szCs w:val="18"/>
        </w:rPr>
        <w:t>提前还款等业务现象，上述开通花呗分期功能的手续费原则上一经收取将不予退还。甲乙双方知悉</w:t>
      </w:r>
      <w:r>
        <w:rPr>
          <w:rFonts w:hint="eastAsia" w:ascii="楷体_GB2312" w:eastAsia="楷体_GB2312"/>
          <w:sz w:val="20"/>
          <w:szCs w:val="18"/>
        </w:rPr>
        <w:t>，</w:t>
      </w:r>
      <w:r>
        <w:rPr>
          <w:rFonts w:ascii="楷体_GB2312" w:eastAsia="楷体_GB2312"/>
          <w:sz w:val="20"/>
          <w:szCs w:val="18"/>
        </w:rPr>
        <w:t>乙方有权根据银行</w:t>
      </w:r>
      <w:r>
        <w:rPr>
          <w:rFonts w:hint="eastAsia" w:ascii="楷体_GB2312" w:eastAsia="楷体_GB2312"/>
          <w:sz w:val="20"/>
          <w:szCs w:val="18"/>
        </w:rPr>
        <w:t>、</w:t>
      </w:r>
      <w:r>
        <w:rPr>
          <w:rFonts w:ascii="楷体_GB2312" w:eastAsia="楷体_GB2312"/>
          <w:sz w:val="20"/>
          <w:szCs w:val="18"/>
        </w:rPr>
        <w:t>蚂蚁小贷或支付宝的规则实时调整上述退款规则</w:t>
      </w:r>
      <w:r>
        <w:rPr>
          <w:rFonts w:hint="eastAsia" w:ascii="楷体_GB2312" w:eastAsia="楷体_GB2312"/>
          <w:sz w:val="20"/>
          <w:szCs w:val="18"/>
        </w:rPr>
        <w:t>。</w:t>
      </w:r>
    </w:p>
    <w:p>
      <w:pPr>
        <w:pStyle w:val="12"/>
        <w:numPr>
          <w:ilvl w:val="0"/>
          <w:numId w:val="10"/>
        </w:numPr>
        <w:ind w:firstLineChars="0"/>
        <w:rPr>
          <w:rFonts w:ascii="楷体" w:hAnsi="楷体" w:eastAsia="楷体"/>
          <w:b/>
          <w:szCs w:val="21"/>
        </w:rPr>
      </w:pPr>
      <w:r>
        <w:rPr>
          <w:rFonts w:hint="eastAsia" w:ascii="楷体" w:hAnsi="楷体" w:eastAsia="楷体"/>
          <w:b/>
          <w:szCs w:val="21"/>
        </w:rPr>
        <w:t>网络支付产品：甲方使用乙方网络支付接口发起支付指令，乙方按照甲方指令扣除首页约定相应手续费，按首页约定的结算周期，结算至甲方指定账户。</w:t>
      </w:r>
    </w:p>
    <w:p>
      <w:pPr>
        <w:pStyle w:val="12"/>
        <w:numPr>
          <w:ilvl w:val="0"/>
          <w:numId w:val="10"/>
        </w:numPr>
        <w:ind w:firstLineChars="0"/>
        <w:rPr>
          <w:rFonts w:ascii="楷体_GB2312" w:hAnsi="Times New Roman" w:eastAsia="楷体_GB2312" w:cs="Times New Roman"/>
          <w:szCs w:val="21"/>
        </w:rPr>
      </w:pPr>
      <w:r>
        <w:rPr>
          <w:rFonts w:hint="eastAsia" w:ascii="楷体_GB2312" w:hAnsi="Times New Roman" w:eastAsia="楷体_GB2312" w:cs="Times New Roman"/>
          <w:szCs w:val="21"/>
        </w:rPr>
        <w:t>网络支付取现规则：</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T</w:t>
      </w:r>
      <w:r>
        <w:rPr>
          <w:rFonts w:hint="eastAsia" w:ascii="楷体_GB2312" w:hAnsi="Times New Roman" w:eastAsia="楷体_GB2312" w:cs="Times New Roman"/>
          <w:szCs w:val="21"/>
        </w:rPr>
        <w:t>+1日取现：乙方将</w:t>
      </w:r>
      <w:r>
        <w:rPr>
          <w:rFonts w:ascii="楷体_GB2312" w:hAnsi="Times New Roman" w:eastAsia="楷体_GB2312" w:cs="Times New Roman"/>
          <w:szCs w:val="21"/>
        </w:rPr>
        <w:t>T</w:t>
      </w:r>
      <w:r>
        <w:rPr>
          <w:rFonts w:hint="eastAsia" w:ascii="楷体_GB2312" w:hAnsi="Times New Roman" w:eastAsia="楷体_GB2312" w:cs="Times New Roman"/>
          <w:szCs w:val="21"/>
        </w:rPr>
        <w:t>日成功</w:t>
      </w:r>
      <w:r>
        <w:rPr>
          <w:rFonts w:ascii="楷体_GB2312" w:hAnsi="Times New Roman" w:eastAsia="楷体_GB2312" w:cs="Times New Roman"/>
          <w:szCs w:val="21"/>
        </w:rPr>
        <w:t>交易</w:t>
      </w:r>
      <w:r>
        <w:rPr>
          <w:rFonts w:hint="eastAsia" w:ascii="楷体_GB2312" w:hAnsi="Times New Roman" w:eastAsia="楷体_GB2312" w:cs="Times New Roman"/>
          <w:szCs w:val="21"/>
        </w:rPr>
        <w:t>的</w:t>
      </w:r>
      <w:r>
        <w:rPr>
          <w:rFonts w:ascii="楷体_GB2312" w:hAnsi="Times New Roman" w:eastAsia="楷体_GB2312" w:cs="Times New Roman"/>
          <w:szCs w:val="21"/>
        </w:rPr>
        <w:t>待结算资金</w:t>
      </w:r>
      <w:r>
        <w:rPr>
          <w:rFonts w:hint="eastAsia" w:ascii="楷体_GB2312" w:hAnsi="Times New Roman" w:eastAsia="楷体_GB2312" w:cs="Times New Roman"/>
          <w:szCs w:val="21"/>
        </w:rPr>
        <w:t>（</w:t>
      </w:r>
      <w:bookmarkStart w:id="20" w:name="OLE_LINK18"/>
      <w:bookmarkStart w:id="21" w:name="OLE_LINK19"/>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bookmarkEnd w:id="20"/>
      <w:bookmarkEnd w:id="21"/>
      <w:r>
        <w:rPr>
          <w:rFonts w:hint="eastAsia" w:ascii="楷体_GB2312" w:hAnsi="Times New Roman" w:eastAsia="楷体_GB2312" w:cs="Times New Roman"/>
          <w:szCs w:val="21"/>
        </w:rPr>
        <w:t>，于</w:t>
      </w:r>
      <w:r>
        <w:rPr>
          <w:rFonts w:ascii="楷体_GB2312" w:hAnsi="Times New Roman" w:eastAsia="楷体_GB2312" w:cs="Times New Roman"/>
          <w:szCs w:val="21"/>
        </w:rPr>
        <w:t>T</w:t>
      </w:r>
      <w:r>
        <w:rPr>
          <w:rFonts w:hint="eastAsia" w:ascii="楷体_GB2312" w:hAnsi="Times New Roman" w:eastAsia="楷体_GB2312" w:cs="Times New Roman"/>
          <w:szCs w:val="21"/>
        </w:rPr>
        <w:t>+</w:t>
      </w:r>
      <w:r>
        <w:rPr>
          <w:rFonts w:ascii="楷体_GB2312" w:hAnsi="Times New Roman" w:eastAsia="楷体_GB2312" w:cs="Times New Roman"/>
          <w:szCs w:val="21"/>
        </w:rPr>
        <w:t>1</w:t>
      </w:r>
      <w:r>
        <w:rPr>
          <w:rFonts w:hint="eastAsia" w:ascii="楷体_GB2312" w:hAnsi="Times New Roman" w:eastAsia="楷体_GB2312" w:cs="Times New Roman"/>
          <w:szCs w:val="21"/>
        </w:rPr>
        <w:t>日扣除</w:t>
      </w:r>
      <w:r>
        <w:rPr>
          <w:rFonts w:ascii="楷体_GB2312" w:hAnsi="Times New Roman" w:eastAsia="楷体_GB2312" w:cs="Times New Roman"/>
          <w:szCs w:val="21"/>
        </w:rPr>
        <w:t>手续费</w:t>
      </w:r>
      <w:r>
        <w:rPr>
          <w:rFonts w:hint="eastAsia" w:ascii="楷体_GB2312" w:hAnsi="Times New Roman" w:eastAsia="楷体_GB2312" w:cs="Times New Roman"/>
          <w:szCs w:val="21"/>
        </w:rPr>
        <w:t>后</w:t>
      </w:r>
      <w:r>
        <w:rPr>
          <w:rFonts w:ascii="楷体_GB2312" w:hAnsi="Times New Roman" w:eastAsia="楷体_GB2312" w:cs="Times New Roman"/>
          <w:szCs w:val="21"/>
        </w:rPr>
        <w:t>结算</w:t>
      </w:r>
      <w:r>
        <w:rPr>
          <w:rFonts w:hint="eastAsia" w:ascii="楷体_GB2312" w:hAnsi="Times New Roman" w:eastAsia="楷体_GB2312" w:cs="Times New Roman"/>
          <w:szCs w:val="21"/>
        </w:rPr>
        <w:t>至甲方银行</w:t>
      </w:r>
      <w:r>
        <w:rPr>
          <w:rFonts w:ascii="楷体_GB2312" w:hAnsi="Times New Roman" w:eastAsia="楷体_GB2312" w:cs="Times New Roman"/>
          <w:szCs w:val="21"/>
        </w:rPr>
        <w:t>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r>
        <w:rPr>
          <w:rFonts w:hint="eastAsia" w:ascii="楷体_GB2312" w:hAnsi="Times New Roman" w:eastAsia="楷体_GB2312" w:cs="Times New Roman"/>
          <w:b/>
          <w:szCs w:val="21"/>
        </w:rPr>
        <w:t>网络支付取现或自动取现默认为T+</w:t>
      </w:r>
      <w:r>
        <w:rPr>
          <w:rFonts w:ascii="楷体_GB2312" w:hAnsi="Times New Roman" w:eastAsia="楷体_GB2312" w:cs="Times New Roman"/>
          <w:b/>
          <w:szCs w:val="21"/>
        </w:rPr>
        <w:t>1</w:t>
      </w:r>
      <w:r>
        <w:rPr>
          <w:rFonts w:hint="eastAsia" w:ascii="楷体_GB2312" w:hAnsi="Times New Roman" w:eastAsia="楷体_GB2312" w:cs="Times New Roman"/>
          <w:b/>
          <w:szCs w:val="21"/>
        </w:rPr>
        <w:t>日结算。</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T</w:t>
      </w:r>
      <w:r>
        <w:rPr>
          <w:rFonts w:hint="eastAsia" w:ascii="楷体_GB2312" w:hAnsi="Times New Roman" w:eastAsia="楷体_GB2312" w:cs="Times New Roman"/>
          <w:szCs w:val="21"/>
        </w:rPr>
        <w:t>日取现：乙方将</w:t>
      </w:r>
      <w:r>
        <w:rPr>
          <w:rFonts w:ascii="楷体_GB2312" w:hAnsi="Times New Roman" w:eastAsia="楷体_GB2312" w:cs="Times New Roman"/>
          <w:szCs w:val="21"/>
        </w:rPr>
        <w:t>T</w:t>
      </w:r>
      <w:r>
        <w:rPr>
          <w:rFonts w:hint="eastAsia" w:ascii="楷体_GB2312" w:hAnsi="Times New Roman" w:eastAsia="楷体_GB2312" w:cs="Times New Roman"/>
          <w:szCs w:val="21"/>
        </w:rPr>
        <w:t>日</w:t>
      </w:r>
      <w:r>
        <w:rPr>
          <w:rFonts w:ascii="楷体_GB2312" w:hAnsi="Times New Roman" w:eastAsia="楷体_GB2312" w:cs="Times New Roman"/>
          <w:szCs w:val="21"/>
        </w:rPr>
        <w:t>成功交易的待结算资金</w:t>
      </w:r>
      <w:r>
        <w:rPr>
          <w:rFonts w:hint="eastAsia" w:ascii="楷体_GB2312" w:hAnsi="Times New Roman" w:eastAsia="楷体_GB2312" w:cs="Times New Roman"/>
          <w:szCs w:val="21"/>
        </w:rPr>
        <w:t>（</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于T</w:t>
      </w:r>
      <w:r>
        <w:rPr>
          <w:rFonts w:hint="eastAsia" w:ascii="楷体_GB2312" w:hAnsi="Times New Roman" w:eastAsia="楷体_GB2312" w:cs="Times New Roman"/>
          <w:szCs w:val="21"/>
        </w:rPr>
        <w:t>日当日扣除</w:t>
      </w:r>
      <w:r>
        <w:rPr>
          <w:rFonts w:ascii="楷体_GB2312" w:hAnsi="Times New Roman" w:eastAsia="楷体_GB2312" w:cs="Times New Roman"/>
          <w:szCs w:val="21"/>
        </w:rPr>
        <w:t>手续费</w:t>
      </w:r>
      <w:r>
        <w:rPr>
          <w:rFonts w:hint="eastAsia" w:ascii="楷体_GB2312" w:hAnsi="Times New Roman" w:eastAsia="楷体_GB2312" w:cs="Times New Roman"/>
          <w:szCs w:val="21"/>
        </w:rPr>
        <w:t>后</w:t>
      </w:r>
      <w:r>
        <w:rPr>
          <w:rFonts w:ascii="楷体_GB2312" w:hAnsi="Times New Roman" w:eastAsia="楷体_GB2312" w:cs="Times New Roman"/>
          <w:szCs w:val="21"/>
        </w:rPr>
        <w:t>自动结算至甲方银行账户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D+0日</w:t>
      </w:r>
      <w:r>
        <w:rPr>
          <w:rFonts w:hint="eastAsia" w:ascii="楷体_GB2312" w:hAnsi="Times New Roman" w:eastAsia="楷体_GB2312" w:cs="Times New Roman"/>
          <w:szCs w:val="21"/>
        </w:rPr>
        <w:t>取现：乙方于交易日D+0日当日（包括工作日和非工作日）将甲方当日交易成功的交易款项即时扣除手续费后结算至甲方银行账户的服务。</w:t>
      </w:r>
    </w:p>
    <w:p>
      <w:pPr>
        <w:pStyle w:val="12"/>
        <w:numPr>
          <w:ilvl w:val="0"/>
          <w:numId w:val="13"/>
        </w:numPr>
        <w:adjustRightInd w:val="0"/>
        <w:snapToGrid w:val="0"/>
        <w:ind w:firstLineChars="0"/>
        <w:rPr>
          <w:rFonts w:ascii="楷体_GB2312" w:hAnsi="Times New Roman" w:eastAsia="楷体_GB2312" w:cs="Times New Roman"/>
          <w:szCs w:val="21"/>
        </w:rPr>
      </w:pPr>
      <w:r>
        <w:rPr>
          <w:rFonts w:ascii="楷体_GB2312" w:hAnsi="Times New Roman" w:eastAsia="楷体_GB2312" w:cs="Times New Roman"/>
          <w:szCs w:val="21"/>
        </w:rPr>
        <w:t>自定义时间取现</w:t>
      </w:r>
      <w:r>
        <w:rPr>
          <w:rFonts w:hint="eastAsia" w:ascii="楷体_GB2312" w:hAnsi="Times New Roman" w:eastAsia="楷体_GB2312" w:cs="Times New Roman"/>
          <w:szCs w:val="21"/>
        </w:rPr>
        <w:t>：</w:t>
      </w:r>
      <w:r>
        <w:rPr>
          <w:rFonts w:ascii="楷体_GB2312" w:hAnsi="Times New Roman" w:eastAsia="楷体_GB2312" w:cs="Times New Roman"/>
          <w:szCs w:val="21"/>
        </w:rPr>
        <w:t>乙方</w:t>
      </w:r>
      <w:r>
        <w:rPr>
          <w:rFonts w:hint="eastAsia" w:ascii="楷体_GB2312" w:hAnsi="Times New Roman" w:eastAsia="楷体_GB2312" w:cs="Times New Roman"/>
          <w:szCs w:val="21"/>
        </w:rPr>
        <w:t>将自定义时间成功交易的待结算资金（</w:t>
      </w:r>
      <w:r>
        <w:rPr>
          <w:rFonts w:ascii="楷体_GB2312" w:hAnsi="Times New Roman" w:eastAsia="楷体_GB2312" w:cs="Times New Roman"/>
          <w:szCs w:val="21"/>
        </w:rPr>
        <w:t>该</w:t>
      </w:r>
      <w:r>
        <w:rPr>
          <w:rFonts w:hint="eastAsia" w:ascii="楷体_GB2312" w:hAnsi="Times New Roman" w:eastAsia="楷体_GB2312" w:cs="Times New Roman"/>
          <w:szCs w:val="21"/>
        </w:rPr>
        <w:t>待结算</w:t>
      </w:r>
      <w:r>
        <w:rPr>
          <w:rFonts w:ascii="楷体_GB2312" w:hAnsi="Times New Roman" w:eastAsia="楷体_GB2312" w:cs="Times New Roman"/>
          <w:szCs w:val="21"/>
        </w:rPr>
        <w:t>资</w:t>
      </w:r>
      <w:r>
        <w:rPr>
          <w:rFonts w:hint="eastAsia" w:ascii="楷体_GB2312" w:hAnsi="Times New Roman" w:eastAsia="楷体_GB2312" w:cs="Times New Roman"/>
          <w:szCs w:val="21"/>
        </w:rPr>
        <w:t>金为</w:t>
      </w:r>
      <w:r>
        <w:rPr>
          <w:rFonts w:ascii="楷体_GB2312" w:hAnsi="Times New Roman" w:eastAsia="楷体_GB2312" w:cs="Times New Roman"/>
          <w:szCs w:val="21"/>
        </w:rPr>
        <w:t>交易资金</w:t>
      </w:r>
      <w:r>
        <w:rPr>
          <w:rFonts w:hint="eastAsia" w:ascii="楷体_GB2312" w:hAnsi="Times New Roman" w:eastAsia="楷体_GB2312" w:cs="Times New Roman"/>
          <w:szCs w:val="21"/>
        </w:rPr>
        <w:t>扣除交易</w:t>
      </w:r>
      <w:r>
        <w:rPr>
          <w:rFonts w:ascii="楷体_GB2312" w:hAnsi="Times New Roman" w:eastAsia="楷体_GB2312" w:cs="Times New Roman"/>
          <w:szCs w:val="21"/>
        </w:rPr>
        <w:t>手续费</w:t>
      </w:r>
      <w:r>
        <w:rPr>
          <w:rFonts w:hint="eastAsia" w:ascii="楷体_GB2312" w:hAnsi="Times New Roman" w:eastAsia="楷体_GB2312" w:cs="Times New Roman"/>
          <w:szCs w:val="21"/>
        </w:rPr>
        <w:t>后的</w:t>
      </w:r>
      <w:r>
        <w:rPr>
          <w:rFonts w:ascii="楷体_GB2312" w:hAnsi="Times New Roman" w:eastAsia="楷体_GB2312" w:cs="Times New Roman"/>
          <w:szCs w:val="21"/>
        </w:rPr>
        <w:t>金额</w:t>
      </w:r>
      <w:r>
        <w:rPr>
          <w:rFonts w:hint="eastAsia" w:ascii="楷体_GB2312" w:hAnsi="Times New Roman" w:eastAsia="楷体_GB2312" w:cs="Times New Roman"/>
          <w:szCs w:val="21"/>
        </w:rPr>
        <w:t>）</w:t>
      </w:r>
      <w:r>
        <w:rPr>
          <w:rFonts w:ascii="楷体_GB2312" w:hAnsi="Times New Roman" w:eastAsia="楷体_GB2312" w:cs="Times New Roman"/>
          <w:szCs w:val="21"/>
        </w:rPr>
        <w:t>于</w:t>
      </w:r>
      <w:r>
        <w:rPr>
          <w:rFonts w:hint="eastAsia" w:ascii="楷体_GB2312" w:hAnsi="Times New Roman" w:eastAsia="楷体_GB2312" w:cs="Times New Roman"/>
          <w:szCs w:val="21"/>
        </w:rPr>
        <w:t>次日（如同时选择D+</w:t>
      </w:r>
      <w:r>
        <w:rPr>
          <w:rFonts w:ascii="楷体_GB2312" w:hAnsi="Times New Roman" w:eastAsia="楷体_GB2312" w:cs="Times New Roman"/>
          <w:szCs w:val="21"/>
        </w:rPr>
        <w:t>0日结算</w:t>
      </w:r>
      <w:r>
        <w:rPr>
          <w:rFonts w:hint="eastAsia" w:ascii="楷体_GB2312" w:hAnsi="Times New Roman" w:eastAsia="楷体_GB2312" w:cs="Times New Roman"/>
          <w:szCs w:val="21"/>
        </w:rPr>
        <w:t>）扣除</w:t>
      </w:r>
      <w:r>
        <w:rPr>
          <w:rFonts w:ascii="楷体_GB2312" w:hAnsi="Times New Roman" w:eastAsia="楷体_GB2312" w:cs="Times New Roman"/>
          <w:szCs w:val="21"/>
        </w:rPr>
        <w:t>手续费后结算至甲方银行账户的服务或者</w:t>
      </w:r>
      <w:r>
        <w:rPr>
          <w:rFonts w:hint="eastAsia" w:ascii="楷体_GB2312" w:hAnsi="Times New Roman" w:eastAsia="楷体_GB2312" w:cs="Times New Roman"/>
          <w:szCs w:val="21"/>
        </w:rPr>
        <w:t>于T+</w:t>
      </w:r>
      <w:r>
        <w:rPr>
          <w:rFonts w:ascii="楷体_GB2312" w:hAnsi="Times New Roman" w:eastAsia="楷体_GB2312" w:cs="Times New Roman"/>
          <w:szCs w:val="21"/>
        </w:rPr>
        <w:t>1日</w:t>
      </w:r>
      <w:r>
        <w:rPr>
          <w:rFonts w:hint="eastAsia" w:ascii="楷体_GB2312" w:hAnsi="Times New Roman" w:eastAsia="楷体_GB2312" w:cs="Times New Roman"/>
          <w:szCs w:val="21"/>
        </w:rPr>
        <w:t>（如同时选择T+</w:t>
      </w:r>
      <w:r>
        <w:rPr>
          <w:rFonts w:ascii="楷体_GB2312" w:hAnsi="Times New Roman" w:eastAsia="楷体_GB2312" w:cs="Times New Roman"/>
          <w:szCs w:val="21"/>
        </w:rPr>
        <w:t>1日结算</w:t>
      </w:r>
      <w:r>
        <w:rPr>
          <w:rFonts w:hint="eastAsia" w:ascii="楷体_GB2312" w:hAnsi="Times New Roman" w:eastAsia="楷体_GB2312" w:cs="Times New Roman"/>
          <w:szCs w:val="21"/>
        </w:rPr>
        <w:t>）扣除手续费后</w:t>
      </w:r>
      <w:r>
        <w:rPr>
          <w:rFonts w:ascii="楷体_GB2312" w:hAnsi="Times New Roman" w:eastAsia="楷体_GB2312" w:cs="Times New Roman"/>
          <w:szCs w:val="21"/>
        </w:rPr>
        <w:t>结算至甲方银行账户</w:t>
      </w:r>
      <w:r>
        <w:rPr>
          <w:rFonts w:hint="eastAsia" w:ascii="楷体_GB2312" w:hAnsi="Times New Roman" w:eastAsia="楷体_GB2312" w:cs="Times New Roman"/>
          <w:szCs w:val="21"/>
        </w:rPr>
        <w:t>的</w:t>
      </w:r>
      <w:r>
        <w:rPr>
          <w:rFonts w:ascii="楷体_GB2312" w:hAnsi="Times New Roman" w:eastAsia="楷体_GB2312" w:cs="Times New Roman"/>
          <w:szCs w:val="21"/>
        </w:rPr>
        <w:t>服务。</w:t>
      </w:r>
    </w:p>
    <w:p>
      <w:pPr>
        <w:pStyle w:val="12"/>
        <w:numPr>
          <w:ilvl w:val="0"/>
          <w:numId w:val="13"/>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入网不满90日或者入网后连续正常交易不满30日的商户，乙方有权不向其提供上述</w:t>
      </w:r>
      <w:r>
        <w:rPr>
          <w:rFonts w:ascii="楷体_GB2312" w:hAnsi="Times New Roman" w:eastAsia="楷体_GB2312" w:cs="Times New Roman"/>
          <w:szCs w:val="21"/>
        </w:rPr>
        <w:t>服务</w:t>
      </w:r>
      <w:r>
        <w:rPr>
          <w:rFonts w:hint="eastAsia" w:ascii="楷体_GB2312" w:hAnsi="Times New Roman" w:eastAsia="楷体_GB2312" w:cs="Times New Roman"/>
          <w:szCs w:val="21"/>
        </w:rPr>
        <w:t>。</w:t>
      </w:r>
    </w:p>
    <w:p>
      <w:pPr>
        <w:pStyle w:val="12"/>
        <w:numPr>
          <w:ilvl w:val="0"/>
          <w:numId w:val="13"/>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乙方有权根据甲方资信状况或者银行、监管机构的风险控制要求等因素调整上述交易限额或暂停向甲方提供本协议</w:t>
      </w:r>
      <w:r>
        <w:rPr>
          <w:rFonts w:ascii="楷体_GB2312" w:hAnsi="Times New Roman" w:eastAsia="楷体_GB2312" w:cs="Times New Roman"/>
          <w:szCs w:val="21"/>
        </w:rPr>
        <w:t>约定的</w:t>
      </w:r>
      <w:r>
        <w:rPr>
          <w:rFonts w:hint="eastAsia" w:ascii="楷体_GB2312" w:hAnsi="Times New Roman" w:eastAsia="楷体_GB2312" w:cs="Times New Roman"/>
          <w:szCs w:val="21"/>
        </w:rPr>
        <w:t>增值服务。</w:t>
      </w:r>
    </w:p>
    <w:p>
      <w:pPr>
        <w:pStyle w:val="12"/>
        <w:numPr>
          <w:ilvl w:val="0"/>
          <w:numId w:val="10"/>
        </w:numPr>
        <w:ind w:firstLineChars="0"/>
        <w:rPr>
          <w:rFonts w:ascii="楷体_GB2312" w:hAnsi="Times New Roman" w:eastAsia="楷体_GB2312" w:cs="Times New Roman"/>
          <w:szCs w:val="21"/>
        </w:rPr>
      </w:pPr>
      <w:r>
        <w:rPr>
          <w:rFonts w:hint="eastAsia" w:ascii="楷体_GB2312" w:hAnsi="Times New Roman" w:eastAsia="楷体_GB2312" w:cs="Times New Roman"/>
          <w:szCs w:val="21"/>
        </w:rPr>
        <w:t>分账结算周期：</w:t>
      </w:r>
      <w:r>
        <w:rPr>
          <w:rFonts w:hint="eastAsia" w:ascii="楷体" w:hAnsi="楷体" w:eastAsia="楷体"/>
          <w:szCs w:val="21"/>
        </w:rPr>
        <w:t>乙方根据甲方或甲方授权的分账发起方向乙方传输的指令，直接将待结算资金部分划付至甲方的账户，部分划付至分账接受方（如：供应商、平台、个人等）的账户。划付结算周期以首页产品信息登记表记录为准。</w:t>
      </w:r>
    </w:p>
    <w:p>
      <w:pPr>
        <w:pStyle w:val="12"/>
        <w:numPr>
          <w:ilvl w:val="0"/>
          <w:numId w:val="10"/>
        </w:numPr>
        <w:ind w:firstLineChars="0"/>
        <w:rPr>
          <w:rFonts w:ascii="楷体" w:hAnsi="楷体" w:eastAsia="楷体"/>
          <w:b/>
          <w:szCs w:val="21"/>
        </w:rPr>
      </w:pPr>
      <w:r>
        <w:rPr>
          <w:rFonts w:ascii="楷体" w:hAnsi="楷体" w:eastAsia="楷体"/>
          <w:b/>
          <w:szCs w:val="21"/>
        </w:rPr>
        <w:t>本协议下支付产品相关费用以协议</w:t>
      </w:r>
      <w:r>
        <w:rPr>
          <w:rFonts w:hint="eastAsia" w:ascii="楷体" w:hAnsi="楷体" w:eastAsia="楷体"/>
          <w:b/>
          <w:szCs w:val="21"/>
        </w:rPr>
        <w:t>首页</w:t>
      </w:r>
      <w:r>
        <w:rPr>
          <w:rFonts w:ascii="楷体" w:hAnsi="楷体" w:eastAsia="楷体"/>
          <w:b/>
          <w:szCs w:val="21"/>
        </w:rPr>
        <w:t>产品信息登记表</w:t>
      </w:r>
      <w:r>
        <w:rPr>
          <w:rFonts w:hint="eastAsia" w:ascii="楷体" w:hAnsi="楷体" w:eastAsia="楷体"/>
          <w:b/>
          <w:szCs w:val="21"/>
        </w:rPr>
        <w:t>约定为准。</w:t>
      </w:r>
    </w:p>
    <w:p>
      <w:pPr>
        <w:pStyle w:val="12"/>
        <w:numPr>
          <w:ilvl w:val="0"/>
          <w:numId w:val="10"/>
        </w:numPr>
        <w:ind w:firstLineChars="0"/>
        <w:rPr>
          <w:rFonts w:ascii="楷体" w:hAnsi="楷体" w:eastAsia="楷体"/>
          <w:b/>
          <w:szCs w:val="21"/>
        </w:rPr>
      </w:pPr>
      <w:r>
        <w:rPr>
          <w:rFonts w:hint="eastAsia" w:ascii="楷体" w:hAnsi="楷体" w:eastAsia="楷体"/>
          <w:b/>
          <w:szCs w:val="21"/>
        </w:rPr>
        <w:t>所有通过和使用乙方综合支付</w:t>
      </w:r>
      <w:r>
        <w:rPr>
          <w:rFonts w:ascii="楷体" w:hAnsi="楷体" w:eastAsia="楷体"/>
          <w:b/>
          <w:szCs w:val="21"/>
        </w:rPr>
        <w:t>服务</w:t>
      </w:r>
      <w:r>
        <w:rPr>
          <w:rFonts w:hint="eastAsia" w:ascii="楷体" w:hAnsi="楷体" w:eastAsia="楷体"/>
          <w:b/>
          <w:szCs w:val="21"/>
        </w:rPr>
        <w:t xml:space="preserve">进行流转、存放、提现的资金，在任何情况下均不产生任何形式的利息。 </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调单规则</w:t>
      </w:r>
    </w:p>
    <w:p>
      <w:pPr>
        <w:pStyle w:val="12"/>
        <w:numPr>
          <w:ilvl w:val="0"/>
          <w:numId w:val="14"/>
        </w:numPr>
        <w:ind w:firstLineChars="0"/>
        <w:rPr>
          <w:rFonts w:ascii="楷体" w:hAnsi="楷体" w:eastAsia="楷体"/>
          <w:b/>
          <w:szCs w:val="21"/>
        </w:rPr>
      </w:pPr>
      <w:r>
        <w:rPr>
          <w:rFonts w:hint="eastAsia" w:ascii="楷体" w:hAnsi="楷体" w:eastAsia="楷体"/>
          <w:b/>
          <w:szCs w:val="21"/>
        </w:rPr>
        <w:t>甲方在收到乙方的调单通知后，应当立即暂停向客户提供商品或者服务，并在收到调单通知之日起两日内，根据调单通知的要求提供相关的交易信息资料并</w:t>
      </w:r>
      <w:r>
        <w:rPr>
          <w:rFonts w:ascii="楷体" w:hAnsi="楷体" w:eastAsia="楷体"/>
          <w:b/>
          <w:szCs w:val="21"/>
        </w:rPr>
        <w:t>按甲方要求提供证明资料</w:t>
      </w:r>
      <w:r>
        <w:rPr>
          <w:rFonts w:hint="eastAsia" w:ascii="楷体" w:hAnsi="楷体" w:eastAsia="楷体"/>
          <w:b/>
          <w:szCs w:val="21"/>
        </w:rPr>
        <w:t>等。</w:t>
      </w:r>
    </w:p>
    <w:p>
      <w:pPr>
        <w:pStyle w:val="12"/>
        <w:numPr>
          <w:ilvl w:val="0"/>
          <w:numId w:val="14"/>
        </w:numPr>
        <w:ind w:firstLineChars="0"/>
        <w:rPr>
          <w:rFonts w:ascii="楷体" w:hAnsi="楷体" w:eastAsia="楷体"/>
          <w:b/>
          <w:szCs w:val="21"/>
        </w:rPr>
      </w:pPr>
      <w:r>
        <w:rPr>
          <w:rFonts w:hint="eastAsia" w:ascii="楷体" w:hAnsi="楷体" w:eastAsia="楷体"/>
          <w:b/>
          <w:szCs w:val="21"/>
        </w:rPr>
        <w:t>甲方未能在规定期限内提供资料、未能按照调单通知的要求提供相关资料、提供的资料与要求不符或甲方不予配合提供相关资料的，应独立承担由此造成的全部损失（包括但不限于退单损失等），且乙方有权从甲方次日或此后的交易款中扣除相应款项或要求甲方交纳调单金额相应</w:t>
      </w:r>
      <w:r>
        <w:rPr>
          <w:rFonts w:ascii="楷体" w:hAnsi="楷体" w:eastAsia="楷体"/>
          <w:b/>
          <w:szCs w:val="21"/>
        </w:rPr>
        <w:t>款项</w:t>
      </w:r>
      <w:r>
        <w:rPr>
          <w:rFonts w:hint="eastAsia" w:ascii="楷体" w:hAnsi="楷体" w:eastAsia="楷体"/>
          <w:b/>
          <w:szCs w:val="21"/>
        </w:rPr>
        <w:t>等相应处理。</w:t>
      </w:r>
    </w:p>
    <w:p>
      <w:pPr>
        <w:pStyle w:val="12"/>
        <w:numPr>
          <w:ilvl w:val="0"/>
          <w:numId w:val="14"/>
        </w:numPr>
        <w:ind w:firstLineChars="0"/>
        <w:rPr>
          <w:rFonts w:ascii="楷体" w:hAnsi="楷体" w:eastAsia="楷体"/>
          <w:b/>
          <w:szCs w:val="21"/>
        </w:rPr>
      </w:pPr>
      <w:r>
        <w:rPr>
          <w:rFonts w:hint="eastAsia" w:ascii="楷体" w:hAnsi="楷体" w:eastAsia="楷体"/>
          <w:b/>
          <w:szCs w:val="21"/>
        </w:rPr>
        <w:t>为配合乙方调</w:t>
      </w:r>
      <w:r>
        <w:rPr>
          <w:rFonts w:ascii="楷体" w:hAnsi="楷体" w:eastAsia="楷体"/>
          <w:b/>
          <w:szCs w:val="21"/>
        </w:rPr>
        <w:t>单需求</w:t>
      </w:r>
      <w:r>
        <w:rPr>
          <w:rFonts w:hint="eastAsia" w:ascii="楷体" w:hAnsi="楷体" w:eastAsia="楷体"/>
          <w:b/>
          <w:szCs w:val="21"/>
        </w:rPr>
        <w:t>，甲方指定首页</w:t>
      </w:r>
      <w:r>
        <w:rPr>
          <w:rFonts w:ascii="楷体" w:hAnsi="楷体" w:eastAsia="楷体"/>
          <w:b/>
          <w:szCs w:val="21"/>
        </w:rPr>
        <w:t>的相应</w:t>
      </w:r>
      <w:r>
        <w:rPr>
          <w:rFonts w:hint="eastAsia" w:ascii="楷体" w:hAnsi="楷体" w:eastAsia="楷体"/>
          <w:b/>
          <w:szCs w:val="21"/>
        </w:rPr>
        <w:t>联系人为调单联系人及其联系方式，当调单联系人及联系方式发生变化时，应在两个工作日内书面告知乙方。否则，如发生紧急风险状况而乙方无法与调单联系人取得联系的，由此造成的损失由甲方承担全部责任。在甲方相关信息发生变化时，甲方应及时通知乙方以便甲方处于可联系状态，否则，乙方可以暂停结算等相应服务。待甲方与</w:t>
      </w:r>
      <w:r>
        <w:rPr>
          <w:rFonts w:ascii="楷体" w:hAnsi="楷体" w:eastAsia="楷体"/>
          <w:b/>
          <w:szCs w:val="21"/>
        </w:rPr>
        <w:t>乙方</w:t>
      </w:r>
      <w:r>
        <w:rPr>
          <w:rFonts w:hint="eastAsia" w:ascii="楷体" w:hAnsi="楷体" w:eastAsia="楷体"/>
          <w:b/>
          <w:szCs w:val="21"/>
        </w:rPr>
        <w:t>恢复联系并查明相关情况后乙方应及时提供恢复结算等相应服务。</w:t>
      </w:r>
    </w:p>
    <w:p>
      <w:pPr>
        <w:pStyle w:val="12"/>
        <w:numPr>
          <w:ilvl w:val="0"/>
          <w:numId w:val="14"/>
        </w:numPr>
        <w:ind w:firstLineChars="0"/>
        <w:rPr>
          <w:rFonts w:ascii="楷体" w:hAnsi="楷体" w:eastAsia="楷体"/>
          <w:b/>
          <w:szCs w:val="21"/>
        </w:rPr>
      </w:pPr>
      <w:r>
        <w:rPr>
          <w:rFonts w:hint="eastAsia" w:ascii="楷体" w:hAnsi="楷体" w:eastAsia="楷体"/>
          <w:b/>
          <w:szCs w:val="21"/>
        </w:rPr>
        <w:t>调单</w:t>
      </w:r>
      <w:r>
        <w:rPr>
          <w:rFonts w:ascii="楷体" w:hAnsi="楷体" w:eastAsia="楷体"/>
          <w:b/>
          <w:szCs w:val="21"/>
        </w:rPr>
        <w:t>联系人信息：</w:t>
      </w:r>
    </w:p>
    <w:p>
      <w:pPr>
        <w:pStyle w:val="12"/>
        <w:ind w:left="420" w:firstLine="0" w:firstLineChars="0"/>
        <w:rPr>
          <w:rFonts w:ascii="楷体" w:hAnsi="楷体" w:eastAsia="楷体"/>
          <w:b/>
          <w:szCs w:val="21"/>
        </w:rPr>
      </w:pPr>
      <w:r>
        <w:rPr>
          <w:rFonts w:hint="eastAsia" w:ascii="楷体" w:hAnsi="楷体" w:eastAsia="楷体"/>
          <w:b/>
          <w:szCs w:val="21"/>
        </w:rPr>
        <w:t>调单联系人方式同首页联系人。当调单联系人及联系方式发生变化时，应在两个工作日内书面告知乙方。否则，如发生紧急风险状况而乙方无法与调单联系人取得联系的，由此造成的损失由甲方承担全部责任。在甲方相关信息发生变化时，甲方应及时通知乙方以便甲方处于可联系状态，否则，乙方可以暂停结算等相应服务。待甲方与</w:t>
      </w:r>
      <w:r>
        <w:rPr>
          <w:rFonts w:ascii="楷体" w:hAnsi="楷体" w:eastAsia="楷体"/>
          <w:b/>
          <w:szCs w:val="21"/>
        </w:rPr>
        <w:t>乙方</w:t>
      </w:r>
      <w:r>
        <w:rPr>
          <w:rFonts w:hint="eastAsia" w:ascii="楷体" w:hAnsi="楷体" w:eastAsia="楷体"/>
          <w:b/>
          <w:szCs w:val="21"/>
        </w:rPr>
        <w:t>恢复联系并查明相关情况后乙方应及时提供恢复结算等相应服务。</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个人金融信息</w:t>
      </w:r>
      <w:r>
        <w:rPr>
          <w:rFonts w:ascii="楷体" w:hAnsi="楷体" w:eastAsia="楷体"/>
          <w:b/>
          <w:szCs w:val="21"/>
        </w:rPr>
        <w:t>保护</w:t>
      </w:r>
      <w:r>
        <w:rPr>
          <w:rFonts w:hint="eastAsia" w:ascii="楷体" w:hAnsi="楷体" w:eastAsia="楷体"/>
          <w:b/>
          <w:szCs w:val="21"/>
        </w:rPr>
        <w:t>及保密</w:t>
      </w:r>
      <w:r>
        <w:rPr>
          <w:rFonts w:ascii="楷体" w:hAnsi="楷体" w:eastAsia="楷体"/>
          <w:b/>
          <w:szCs w:val="21"/>
        </w:rPr>
        <w:t>条款</w:t>
      </w:r>
    </w:p>
    <w:p>
      <w:pPr>
        <w:pStyle w:val="12"/>
        <w:numPr>
          <w:ilvl w:val="0"/>
          <w:numId w:val="15"/>
        </w:numPr>
        <w:ind w:firstLineChars="0"/>
        <w:rPr>
          <w:rFonts w:ascii="楷体" w:hAnsi="楷体" w:eastAsia="楷体"/>
          <w:szCs w:val="21"/>
        </w:rPr>
      </w:pPr>
      <w:r>
        <w:rPr>
          <w:rFonts w:hint="eastAsia" w:ascii="楷体" w:hAnsi="楷体" w:eastAsia="楷体"/>
          <w:szCs w:val="21"/>
        </w:rPr>
        <w:t>本协议项下保密信息是指甲乙双方在履行本协议期间所获知的属于另一方的商业、营销、技术或其他资料（包括但不限于各项技术、交易信息、客户信息、个人</w:t>
      </w:r>
      <w:r>
        <w:rPr>
          <w:rFonts w:ascii="楷体" w:hAnsi="楷体" w:eastAsia="楷体"/>
          <w:szCs w:val="21"/>
        </w:rPr>
        <w:t>金融</w:t>
      </w:r>
      <w:r>
        <w:rPr>
          <w:rFonts w:hint="eastAsia" w:ascii="楷体" w:hAnsi="楷体" w:eastAsia="楷体"/>
          <w:szCs w:val="21"/>
        </w:rPr>
        <w:t>信息</w:t>
      </w:r>
      <w:r>
        <w:rPr>
          <w:rFonts w:ascii="楷体" w:hAnsi="楷体" w:eastAsia="楷体"/>
          <w:szCs w:val="21"/>
        </w:rPr>
        <w:t>、</w:t>
      </w:r>
      <w:r>
        <w:rPr>
          <w:rFonts w:hint="eastAsia" w:ascii="楷体" w:hAnsi="楷体" w:eastAsia="楷体"/>
          <w:szCs w:val="21"/>
        </w:rPr>
        <w:t>商业秘密、数据统计资料等）。</w:t>
      </w:r>
    </w:p>
    <w:p>
      <w:pPr>
        <w:pStyle w:val="12"/>
        <w:numPr>
          <w:ilvl w:val="0"/>
          <w:numId w:val="15"/>
        </w:numPr>
        <w:ind w:firstLineChars="0"/>
        <w:rPr>
          <w:rFonts w:ascii="楷体" w:hAnsi="楷体" w:eastAsia="楷体"/>
          <w:szCs w:val="21"/>
        </w:rPr>
      </w:pPr>
      <w:r>
        <w:rPr>
          <w:rFonts w:hint="eastAsia" w:ascii="楷体" w:hAnsi="楷体" w:eastAsia="楷体"/>
          <w:szCs w:val="21"/>
        </w:rPr>
        <w:t>保密信息不包括：（1)在一方传递给对方时已被公众掌握的信息或材料；（2）在一方传递给对方时已被对方通过合法途径依法掌握的信 息或材料，且当时对方并不负有任何保密义务。</w:t>
      </w:r>
    </w:p>
    <w:p>
      <w:pPr>
        <w:pStyle w:val="12"/>
        <w:numPr>
          <w:ilvl w:val="0"/>
          <w:numId w:val="15"/>
        </w:numPr>
        <w:ind w:firstLineChars="0"/>
        <w:rPr>
          <w:rFonts w:ascii="楷体" w:hAnsi="楷体" w:eastAsia="楷体"/>
          <w:szCs w:val="21"/>
        </w:rPr>
      </w:pPr>
      <w:r>
        <w:rPr>
          <w:rFonts w:hint="eastAsia" w:ascii="楷体" w:hAnsi="楷体" w:eastAsia="楷体"/>
          <w:szCs w:val="21"/>
        </w:rPr>
        <w:t>本协议</w:t>
      </w:r>
      <w:r>
        <w:rPr>
          <w:rFonts w:ascii="楷体" w:hAnsi="楷体" w:eastAsia="楷体"/>
          <w:szCs w:val="21"/>
        </w:rPr>
        <w:t>所称个人金融信息</w:t>
      </w:r>
      <w:r>
        <w:rPr>
          <w:rFonts w:hint="eastAsia" w:ascii="楷体" w:hAnsi="楷体" w:eastAsia="楷体"/>
          <w:szCs w:val="21"/>
        </w:rPr>
        <w:t>，</w:t>
      </w:r>
      <w:r>
        <w:rPr>
          <w:rFonts w:ascii="楷体" w:hAnsi="楷体" w:eastAsia="楷体"/>
          <w:szCs w:val="21"/>
        </w:rPr>
        <w:t>是指</w:t>
      </w:r>
      <w:r>
        <w:rPr>
          <w:rFonts w:hint="eastAsia" w:ascii="楷体" w:hAnsi="楷体" w:eastAsia="楷体"/>
          <w:szCs w:val="21"/>
        </w:rPr>
        <w:t>乙方</w:t>
      </w:r>
      <w:r>
        <w:rPr>
          <w:rFonts w:ascii="楷体" w:hAnsi="楷体" w:eastAsia="楷体"/>
          <w:szCs w:val="21"/>
        </w:rPr>
        <w:t>作为金融机构</w:t>
      </w:r>
      <w:r>
        <w:rPr>
          <w:rFonts w:hint="eastAsia" w:ascii="楷体" w:hAnsi="楷体" w:eastAsia="楷体"/>
          <w:szCs w:val="21"/>
        </w:rPr>
        <w:t>通过</w:t>
      </w:r>
      <w:r>
        <w:rPr>
          <w:rFonts w:ascii="楷体" w:hAnsi="楷体" w:eastAsia="楷体"/>
          <w:szCs w:val="21"/>
        </w:rPr>
        <w:t>开展业务</w:t>
      </w:r>
      <w:r>
        <w:rPr>
          <w:rFonts w:hint="eastAsia" w:ascii="楷体" w:hAnsi="楷体" w:eastAsia="楷体"/>
          <w:szCs w:val="21"/>
        </w:rPr>
        <w:t>或者</w:t>
      </w:r>
      <w:r>
        <w:rPr>
          <w:rFonts w:ascii="楷体" w:hAnsi="楷体" w:eastAsia="楷体"/>
          <w:szCs w:val="21"/>
        </w:rPr>
        <w:t>其他渠道</w:t>
      </w:r>
      <w:r>
        <w:rPr>
          <w:rFonts w:hint="eastAsia" w:ascii="楷体" w:hAnsi="楷体" w:eastAsia="楷体"/>
          <w:szCs w:val="21"/>
        </w:rPr>
        <w:t>获取、</w:t>
      </w:r>
      <w:r>
        <w:rPr>
          <w:rFonts w:ascii="楷体" w:hAnsi="楷体" w:eastAsia="楷体"/>
          <w:szCs w:val="21"/>
        </w:rPr>
        <w:t>加工</w:t>
      </w:r>
      <w:r>
        <w:rPr>
          <w:rFonts w:hint="eastAsia" w:ascii="楷体" w:hAnsi="楷体" w:eastAsia="楷体"/>
          <w:szCs w:val="21"/>
        </w:rPr>
        <w:t>和</w:t>
      </w:r>
      <w:r>
        <w:rPr>
          <w:rFonts w:ascii="楷体" w:hAnsi="楷体" w:eastAsia="楷体"/>
          <w:szCs w:val="21"/>
        </w:rPr>
        <w:t>保存的</w:t>
      </w:r>
      <w:r>
        <w:rPr>
          <w:rFonts w:hint="eastAsia" w:ascii="楷体" w:hAnsi="楷体" w:eastAsia="楷体"/>
          <w:szCs w:val="21"/>
        </w:rPr>
        <w:t>个人</w:t>
      </w:r>
      <w:r>
        <w:rPr>
          <w:rFonts w:ascii="楷体" w:hAnsi="楷体" w:eastAsia="楷体"/>
          <w:szCs w:val="21"/>
        </w:rPr>
        <w:t>信息</w:t>
      </w:r>
      <w:r>
        <w:rPr>
          <w:rFonts w:hint="eastAsia" w:ascii="楷体" w:hAnsi="楷体" w:eastAsia="楷体"/>
          <w:szCs w:val="21"/>
        </w:rPr>
        <w:t>，</w:t>
      </w:r>
      <w:r>
        <w:rPr>
          <w:rFonts w:ascii="楷体" w:hAnsi="楷体" w:eastAsia="楷体"/>
          <w:szCs w:val="21"/>
        </w:rPr>
        <w:t>包括个人身份</w:t>
      </w:r>
      <w:r>
        <w:rPr>
          <w:rFonts w:hint="eastAsia" w:ascii="楷体" w:hAnsi="楷体" w:eastAsia="楷体"/>
          <w:szCs w:val="21"/>
        </w:rPr>
        <w:t>信息</w:t>
      </w:r>
      <w:r>
        <w:rPr>
          <w:rFonts w:ascii="楷体" w:hAnsi="楷体" w:eastAsia="楷体"/>
          <w:szCs w:val="21"/>
        </w:rPr>
        <w:t>、</w:t>
      </w:r>
      <w:r>
        <w:rPr>
          <w:rFonts w:hint="eastAsia" w:ascii="楷体" w:hAnsi="楷体" w:eastAsia="楷体"/>
          <w:szCs w:val="21"/>
        </w:rPr>
        <w:t>财产信息、</w:t>
      </w:r>
      <w:r>
        <w:rPr>
          <w:rFonts w:ascii="楷体" w:hAnsi="楷体" w:eastAsia="楷体"/>
          <w:szCs w:val="21"/>
        </w:rPr>
        <w:t>信用信息、</w:t>
      </w:r>
      <w:r>
        <w:rPr>
          <w:rFonts w:hint="eastAsia" w:ascii="楷体" w:hAnsi="楷体" w:eastAsia="楷体"/>
          <w:szCs w:val="21"/>
        </w:rPr>
        <w:t>金融</w:t>
      </w:r>
      <w:r>
        <w:rPr>
          <w:rFonts w:ascii="楷体" w:hAnsi="楷体" w:eastAsia="楷体"/>
          <w:szCs w:val="21"/>
        </w:rPr>
        <w:t>交易</w:t>
      </w:r>
      <w:r>
        <w:rPr>
          <w:rFonts w:hint="eastAsia" w:ascii="楷体" w:hAnsi="楷体" w:eastAsia="楷体"/>
          <w:szCs w:val="21"/>
        </w:rPr>
        <w:t>信息</w:t>
      </w:r>
      <w:r>
        <w:rPr>
          <w:rFonts w:ascii="楷体" w:hAnsi="楷体" w:eastAsia="楷体"/>
          <w:szCs w:val="21"/>
        </w:rPr>
        <w:t>及</w:t>
      </w:r>
      <w:r>
        <w:rPr>
          <w:rFonts w:hint="eastAsia" w:ascii="楷体" w:hAnsi="楷体" w:eastAsia="楷体"/>
          <w:szCs w:val="21"/>
        </w:rPr>
        <w:t>其他反映</w:t>
      </w:r>
      <w:r>
        <w:rPr>
          <w:rFonts w:ascii="楷体" w:hAnsi="楷体" w:eastAsia="楷体"/>
          <w:szCs w:val="21"/>
        </w:rPr>
        <w:t>特定</w:t>
      </w:r>
      <w:r>
        <w:rPr>
          <w:rFonts w:hint="eastAsia" w:ascii="楷体" w:hAnsi="楷体" w:eastAsia="楷体"/>
          <w:szCs w:val="21"/>
        </w:rPr>
        <w:t>个人</w:t>
      </w:r>
      <w:r>
        <w:rPr>
          <w:rFonts w:ascii="楷体" w:hAnsi="楷体" w:eastAsia="楷体"/>
          <w:szCs w:val="21"/>
        </w:rPr>
        <w:t>某些</w:t>
      </w:r>
      <w:r>
        <w:rPr>
          <w:rFonts w:hint="eastAsia" w:ascii="楷体" w:hAnsi="楷体" w:eastAsia="楷体"/>
          <w:szCs w:val="21"/>
        </w:rPr>
        <w:t>情况</w:t>
      </w:r>
      <w:r>
        <w:rPr>
          <w:rFonts w:ascii="楷体" w:hAnsi="楷体" w:eastAsia="楷体"/>
          <w:szCs w:val="21"/>
        </w:rPr>
        <w:t>的信息。</w:t>
      </w:r>
      <w:r>
        <w:rPr>
          <w:rFonts w:hint="eastAsia" w:ascii="楷体" w:hAnsi="楷体" w:eastAsia="楷体"/>
          <w:szCs w:val="21"/>
        </w:rPr>
        <w:t>个人金融</w:t>
      </w:r>
      <w:r>
        <w:rPr>
          <w:rFonts w:ascii="楷体" w:hAnsi="楷体" w:eastAsia="楷体"/>
          <w:szCs w:val="21"/>
        </w:rPr>
        <w:t>信息</w:t>
      </w:r>
      <w:r>
        <w:rPr>
          <w:rFonts w:hint="eastAsia" w:ascii="楷体" w:hAnsi="楷体" w:eastAsia="楷体"/>
          <w:szCs w:val="21"/>
        </w:rPr>
        <w:t>包括但不限于</w:t>
      </w:r>
      <w:r>
        <w:rPr>
          <w:rFonts w:ascii="楷体" w:hAnsi="楷体" w:eastAsia="楷体"/>
          <w:szCs w:val="21"/>
        </w:rPr>
        <w:t>：</w:t>
      </w:r>
      <w:r>
        <w:rPr>
          <w:rFonts w:hint="eastAsia" w:ascii="楷体" w:hAnsi="楷体" w:eastAsia="楷体"/>
          <w:szCs w:val="21"/>
        </w:rPr>
        <w:t>客户的银行卡信息（卡号、有效期、CVV2码等）、客户银行账户信息、专属账户信息</w:t>
      </w:r>
      <w:r>
        <w:rPr>
          <w:rFonts w:ascii="楷体" w:hAnsi="楷体" w:eastAsia="楷体"/>
          <w:szCs w:val="21"/>
        </w:rPr>
        <w:t>属</w:t>
      </w:r>
      <w:r>
        <w:rPr>
          <w:rFonts w:hint="eastAsia" w:ascii="楷体" w:hAnsi="楷体" w:eastAsia="楷体"/>
          <w:szCs w:val="21"/>
        </w:rPr>
        <w:t>、交易数据信息等</w:t>
      </w:r>
      <w:r>
        <w:rPr>
          <w:rFonts w:ascii="楷体" w:hAnsi="楷体" w:eastAsia="楷体"/>
          <w:szCs w:val="21"/>
        </w:rPr>
        <w:t>，</w:t>
      </w:r>
      <w:r>
        <w:rPr>
          <w:rFonts w:hint="eastAsia" w:ascii="楷体" w:hAnsi="楷体" w:eastAsia="楷体"/>
          <w:szCs w:val="21"/>
        </w:rPr>
        <w:t>该信息</w:t>
      </w:r>
      <w:r>
        <w:rPr>
          <w:rFonts w:ascii="楷体" w:hAnsi="楷体" w:eastAsia="楷体"/>
          <w:szCs w:val="21"/>
        </w:rPr>
        <w:t>属于本协议约定的保密信息</w:t>
      </w:r>
      <w:r>
        <w:rPr>
          <w:rFonts w:hint="eastAsia" w:ascii="楷体" w:hAnsi="楷体" w:eastAsia="楷体"/>
          <w:szCs w:val="21"/>
        </w:rPr>
        <w:t>。</w:t>
      </w:r>
    </w:p>
    <w:p>
      <w:pPr>
        <w:pStyle w:val="12"/>
        <w:numPr>
          <w:ilvl w:val="0"/>
          <w:numId w:val="15"/>
        </w:numPr>
        <w:ind w:firstLineChars="0"/>
        <w:rPr>
          <w:rFonts w:ascii="楷体" w:hAnsi="楷体" w:eastAsia="楷体"/>
          <w:b/>
          <w:szCs w:val="21"/>
        </w:rPr>
      </w:pPr>
      <w:r>
        <w:rPr>
          <w:rFonts w:hint="eastAsia" w:ascii="楷体" w:hAnsi="楷体" w:eastAsia="楷体"/>
          <w:b/>
          <w:szCs w:val="21"/>
        </w:rPr>
        <w:t>甲</w:t>
      </w:r>
      <w:r>
        <w:rPr>
          <w:rFonts w:ascii="楷体" w:hAnsi="楷体" w:eastAsia="楷体"/>
          <w:b/>
          <w:szCs w:val="21"/>
        </w:rPr>
        <w:t>乙双方为开</w:t>
      </w:r>
      <w:r>
        <w:rPr>
          <w:rFonts w:hint="eastAsia" w:ascii="楷体" w:hAnsi="楷体" w:eastAsia="楷体"/>
          <w:b/>
          <w:szCs w:val="21"/>
        </w:rPr>
        <w:t>展</w:t>
      </w:r>
      <w:r>
        <w:rPr>
          <w:rFonts w:ascii="楷体" w:hAnsi="楷体" w:eastAsia="楷体"/>
          <w:b/>
          <w:szCs w:val="21"/>
        </w:rPr>
        <w:t>本协议约定之合</w:t>
      </w:r>
      <w:r>
        <w:rPr>
          <w:rFonts w:hint="eastAsia" w:ascii="楷体" w:hAnsi="楷体" w:eastAsia="楷体"/>
          <w:b/>
          <w:szCs w:val="21"/>
        </w:rPr>
        <w:t>作，</w:t>
      </w:r>
      <w:r>
        <w:rPr>
          <w:rFonts w:ascii="楷体" w:hAnsi="楷体" w:eastAsia="楷体"/>
          <w:b/>
          <w:szCs w:val="21"/>
        </w:rPr>
        <w:t>需要</w:t>
      </w:r>
      <w:r>
        <w:rPr>
          <w:rFonts w:hint="eastAsia" w:ascii="楷体" w:hAnsi="楷体" w:eastAsia="楷体"/>
          <w:b/>
          <w:szCs w:val="21"/>
        </w:rPr>
        <w:t>收集</w:t>
      </w:r>
      <w:r>
        <w:rPr>
          <w:rFonts w:ascii="楷体" w:hAnsi="楷体" w:eastAsia="楷体"/>
          <w:b/>
          <w:szCs w:val="21"/>
        </w:rPr>
        <w:t>个人信息</w:t>
      </w:r>
      <w:r>
        <w:rPr>
          <w:rFonts w:hint="eastAsia" w:ascii="楷体" w:hAnsi="楷体" w:eastAsia="楷体"/>
          <w:b/>
          <w:szCs w:val="21"/>
        </w:rPr>
        <w:t>时</w:t>
      </w:r>
      <w:r>
        <w:rPr>
          <w:rFonts w:ascii="楷体" w:hAnsi="楷体" w:eastAsia="楷体"/>
          <w:b/>
          <w:szCs w:val="21"/>
        </w:rPr>
        <w:t>，应当遵循</w:t>
      </w:r>
      <w:r>
        <w:rPr>
          <w:rFonts w:hint="eastAsia" w:ascii="楷体" w:hAnsi="楷体" w:eastAsia="楷体"/>
          <w:b/>
          <w:szCs w:val="21"/>
        </w:rPr>
        <w:t>合法</w:t>
      </w:r>
      <w:r>
        <w:rPr>
          <w:rFonts w:ascii="楷体" w:hAnsi="楷体" w:eastAsia="楷体"/>
          <w:b/>
          <w:szCs w:val="21"/>
        </w:rPr>
        <w:t>、合理、</w:t>
      </w:r>
      <w:r>
        <w:rPr>
          <w:rFonts w:hint="eastAsia" w:ascii="楷体" w:hAnsi="楷体" w:eastAsia="楷体"/>
          <w:b/>
          <w:szCs w:val="21"/>
        </w:rPr>
        <w:t>必要</w:t>
      </w:r>
      <w:r>
        <w:rPr>
          <w:rFonts w:ascii="楷体" w:hAnsi="楷体" w:eastAsia="楷体"/>
          <w:b/>
          <w:szCs w:val="21"/>
        </w:rPr>
        <w:t>原则，</w:t>
      </w:r>
      <w:r>
        <w:rPr>
          <w:rFonts w:hint="eastAsia" w:ascii="楷体" w:hAnsi="楷体" w:eastAsia="楷体"/>
          <w:b/>
          <w:szCs w:val="21"/>
        </w:rPr>
        <w:t>不得收集</w:t>
      </w:r>
      <w:r>
        <w:rPr>
          <w:rFonts w:ascii="楷体" w:hAnsi="楷体" w:eastAsia="楷体"/>
          <w:b/>
          <w:szCs w:val="21"/>
        </w:rPr>
        <w:t>与业务无</w:t>
      </w:r>
      <w:r>
        <w:rPr>
          <w:rFonts w:hint="eastAsia" w:ascii="楷体" w:hAnsi="楷体" w:eastAsia="楷体"/>
          <w:b/>
          <w:szCs w:val="21"/>
        </w:rPr>
        <w:t>关</w:t>
      </w:r>
      <w:r>
        <w:rPr>
          <w:rFonts w:ascii="楷体" w:hAnsi="楷体" w:eastAsia="楷体"/>
          <w:b/>
          <w:szCs w:val="21"/>
        </w:rPr>
        <w:t>的信息</w:t>
      </w:r>
      <w:r>
        <w:rPr>
          <w:rFonts w:hint="eastAsia" w:ascii="楷体" w:hAnsi="楷体" w:eastAsia="楷体"/>
          <w:b/>
          <w:szCs w:val="21"/>
        </w:rPr>
        <w:t>或者</w:t>
      </w:r>
      <w:r>
        <w:rPr>
          <w:rFonts w:ascii="楷体" w:hAnsi="楷体" w:eastAsia="楷体"/>
          <w:b/>
          <w:szCs w:val="21"/>
        </w:rPr>
        <w:t>采取不正当方式</w:t>
      </w:r>
      <w:r>
        <w:rPr>
          <w:rFonts w:hint="eastAsia" w:ascii="楷体" w:hAnsi="楷体" w:eastAsia="楷体"/>
          <w:b/>
          <w:szCs w:val="21"/>
        </w:rPr>
        <w:t>收集</w:t>
      </w:r>
      <w:r>
        <w:rPr>
          <w:rFonts w:ascii="楷体" w:hAnsi="楷体" w:eastAsia="楷体"/>
          <w:b/>
          <w:szCs w:val="21"/>
        </w:rPr>
        <w:t>信息，</w:t>
      </w:r>
      <w:r>
        <w:rPr>
          <w:rFonts w:hint="eastAsia" w:ascii="楷体" w:hAnsi="楷体" w:eastAsia="楷体"/>
          <w:b/>
          <w:szCs w:val="21"/>
        </w:rPr>
        <w:t>不得</w:t>
      </w:r>
      <w:r>
        <w:rPr>
          <w:rFonts w:ascii="楷体" w:hAnsi="楷体" w:eastAsia="楷体"/>
          <w:b/>
          <w:szCs w:val="21"/>
        </w:rPr>
        <w:t>非法存储个人金融信息，</w:t>
      </w:r>
      <w:r>
        <w:rPr>
          <w:rFonts w:hint="eastAsia" w:ascii="楷体" w:hAnsi="楷体" w:eastAsia="楷体"/>
          <w:b/>
          <w:szCs w:val="21"/>
        </w:rPr>
        <w:t>应</w:t>
      </w:r>
      <w:r>
        <w:rPr>
          <w:rFonts w:ascii="楷体" w:hAnsi="楷体" w:eastAsia="楷体"/>
          <w:b/>
          <w:szCs w:val="21"/>
        </w:rPr>
        <w:t>妥善保管</w:t>
      </w:r>
      <w:r>
        <w:rPr>
          <w:rFonts w:hint="eastAsia" w:ascii="楷体" w:hAnsi="楷体" w:eastAsia="楷体"/>
          <w:b/>
          <w:szCs w:val="21"/>
        </w:rPr>
        <w:t>依法收集</w:t>
      </w:r>
      <w:r>
        <w:rPr>
          <w:rFonts w:ascii="楷体" w:hAnsi="楷体" w:eastAsia="楷体"/>
          <w:b/>
          <w:szCs w:val="21"/>
        </w:rPr>
        <w:t>的个人金融信息</w:t>
      </w:r>
      <w:r>
        <w:rPr>
          <w:rFonts w:hint="eastAsia" w:ascii="楷体" w:hAnsi="楷体" w:eastAsia="楷体"/>
          <w:b/>
          <w:szCs w:val="21"/>
        </w:rPr>
        <w:t>，防止</w:t>
      </w:r>
      <w:r>
        <w:rPr>
          <w:rFonts w:ascii="楷体" w:hAnsi="楷体" w:eastAsia="楷体"/>
          <w:b/>
          <w:szCs w:val="21"/>
        </w:rPr>
        <w:t>信息</w:t>
      </w:r>
      <w:r>
        <w:rPr>
          <w:rFonts w:hint="eastAsia" w:ascii="楷体" w:hAnsi="楷体" w:eastAsia="楷体"/>
          <w:b/>
          <w:szCs w:val="21"/>
        </w:rPr>
        <w:t>遗失</w:t>
      </w:r>
      <w:r>
        <w:rPr>
          <w:rFonts w:ascii="楷体" w:hAnsi="楷体" w:eastAsia="楷体"/>
          <w:b/>
          <w:szCs w:val="21"/>
        </w:rPr>
        <w:t>、</w:t>
      </w:r>
      <w:r>
        <w:rPr>
          <w:rFonts w:hint="eastAsia" w:ascii="楷体" w:hAnsi="楷体" w:eastAsia="楷体"/>
          <w:b/>
          <w:szCs w:val="21"/>
        </w:rPr>
        <w:t>毁损</w:t>
      </w:r>
      <w:r>
        <w:rPr>
          <w:rFonts w:ascii="楷体" w:hAnsi="楷体" w:eastAsia="楷体"/>
          <w:b/>
          <w:szCs w:val="21"/>
        </w:rPr>
        <w:t>、</w:t>
      </w:r>
      <w:r>
        <w:rPr>
          <w:rFonts w:hint="eastAsia" w:ascii="楷体" w:hAnsi="楷体" w:eastAsia="楷体"/>
          <w:b/>
          <w:szCs w:val="21"/>
        </w:rPr>
        <w:t>泄露</w:t>
      </w:r>
      <w:r>
        <w:rPr>
          <w:rFonts w:ascii="楷体" w:hAnsi="楷体" w:eastAsia="楷体"/>
          <w:b/>
          <w:szCs w:val="21"/>
        </w:rPr>
        <w:t>或者篡改</w:t>
      </w:r>
      <w:r>
        <w:rPr>
          <w:rFonts w:hint="eastAsia" w:ascii="楷体" w:hAnsi="楷体" w:eastAsia="楷体"/>
          <w:b/>
          <w:szCs w:val="21"/>
        </w:rPr>
        <w:t>，</w:t>
      </w:r>
      <w:r>
        <w:rPr>
          <w:rFonts w:ascii="楷体" w:hAnsi="楷体" w:eastAsia="楷体"/>
          <w:b/>
          <w:szCs w:val="21"/>
        </w:rPr>
        <w:t>如发生该等情况的，</w:t>
      </w:r>
      <w:r>
        <w:rPr>
          <w:rFonts w:hint="eastAsia" w:ascii="楷体" w:hAnsi="楷体" w:eastAsia="楷体"/>
          <w:b/>
          <w:szCs w:val="21"/>
        </w:rPr>
        <w:t>应当</w:t>
      </w:r>
      <w:r>
        <w:rPr>
          <w:rFonts w:ascii="楷体" w:hAnsi="楷体" w:eastAsia="楷体"/>
          <w:b/>
          <w:szCs w:val="21"/>
        </w:rPr>
        <w:t>立即采取补救措施</w:t>
      </w:r>
      <w:r>
        <w:rPr>
          <w:rFonts w:hint="eastAsia" w:ascii="楷体" w:hAnsi="楷体" w:eastAsia="楷体"/>
          <w:b/>
          <w:szCs w:val="21"/>
        </w:rPr>
        <w:t>，</w:t>
      </w:r>
      <w:r>
        <w:rPr>
          <w:rFonts w:ascii="楷体" w:hAnsi="楷体" w:eastAsia="楷体"/>
          <w:b/>
          <w:szCs w:val="21"/>
        </w:rPr>
        <w:t>及时告知客户并</w:t>
      </w:r>
      <w:r>
        <w:rPr>
          <w:rFonts w:hint="eastAsia" w:ascii="楷体" w:hAnsi="楷体" w:eastAsia="楷体"/>
          <w:b/>
          <w:szCs w:val="21"/>
        </w:rPr>
        <w:t>向</w:t>
      </w:r>
      <w:r>
        <w:rPr>
          <w:rFonts w:ascii="楷体" w:hAnsi="楷体" w:eastAsia="楷体"/>
          <w:b/>
          <w:szCs w:val="21"/>
        </w:rPr>
        <w:t>有关主管部门报告。</w:t>
      </w:r>
      <w:r>
        <w:rPr>
          <w:rFonts w:hint="eastAsia" w:ascii="楷体" w:hAnsi="楷体" w:eastAsia="楷体"/>
          <w:b/>
          <w:szCs w:val="21"/>
        </w:rPr>
        <w:t>甲</w:t>
      </w:r>
      <w:r>
        <w:rPr>
          <w:rFonts w:ascii="楷体" w:hAnsi="楷体" w:eastAsia="楷体"/>
          <w:b/>
          <w:szCs w:val="21"/>
        </w:rPr>
        <w:t>乙双方的工作人员</w:t>
      </w:r>
      <w:r>
        <w:rPr>
          <w:rFonts w:hint="eastAsia" w:ascii="楷体" w:hAnsi="楷体" w:eastAsia="楷体"/>
          <w:b/>
          <w:szCs w:val="21"/>
        </w:rPr>
        <w:t>应当</w:t>
      </w:r>
      <w:r>
        <w:rPr>
          <w:rFonts w:ascii="楷体" w:hAnsi="楷体" w:eastAsia="楷体"/>
          <w:b/>
          <w:szCs w:val="21"/>
        </w:rPr>
        <w:t>对</w:t>
      </w:r>
      <w:r>
        <w:rPr>
          <w:rFonts w:hint="eastAsia" w:ascii="楷体" w:hAnsi="楷体" w:eastAsia="楷体"/>
          <w:b/>
          <w:szCs w:val="21"/>
        </w:rPr>
        <w:t>业务</w:t>
      </w:r>
      <w:r>
        <w:rPr>
          <w:rFonts w:ascii="楷体" w:hAnsi="楷体" w:eastAsia="楷体"/>
          <w:b/>
          <w:szCs w:val="21"/>
        </w:rPr>
        <w:t>过程中</w:t>
      </w:r>
      <w:r>
        <w:rPr>
          <w:rFonts w:hint="eastAsia" w:ascii="楷体" w:hAnsi="楷体" w:eastAsia="楷体"/>
          <w:b/>
          <w:szCs w:val="21"/>
        </w:rPr>
        <w:t>知悉</w:t>
      </w:r>
      <w:r>
        <w:rPr>
          <w:rFonts w:ascii="楷体" w:hAnsi="楷体" w:eastAsia="楷体"/>
          <w:b/>
          <w:szCs w:val="21"/>
        </w:rPr>
        <w:t>的</w:t>
      </w:r>
      <w:r>
        <w:rPr>
          <w:rFonts w:hint="eastAsia" w:ascii="楷体" w:hAnsi="楷体" w:eastAsia="楷体"/>
          <w:b/>
          <w:szCs w:val="21"/>
        </w:rPr>
        <w:t>个人</w:t>
      </w:r>
      <w:r>
        <w:rPr>
          <w:rFonts w:ascii="楷体" w:hAnsi="楷体" w:eastAsia="楷体"/>
          <w:b/>
          <w:szCs w:val="21"/>
        </w:rPr>
        <w:t>金融信息</w:t>
      </w:r>
      <w:r>
        <w:rPr>
          <w:rFonts w:hint="eastAsia" w:ascii="楷体" w:hAnsi="楷体" w:eastAsia="楷体"/>
          <w:b/>
          <w:szCs w:val="21"/>
        </w:rPr>
        <w:t>予以</w:t>
      </w:r>
      <w:r>
        <w:rPr>
          <w:rFonts w:ascii="楷体" w:hAnsi="楷体" w:eastAsia="楷体"/>
          <w:b/>
          <w:szCs w:val="21"/>
        </w:rPr>
        <w:t>保密</w:t>
      </w:r>
      <w:r>
        <w:rPr>
          <w:rFonts w:hint="eastAsia" w:ascii="楷体" w:hAnsi="楷体" w:eastAsia="楷体"/>
          <w:b/>
          <w:szCs w:val="21"/>
        </w:rPr>
        <w:t>，</w:t>
      </w:r>
      <w:r>
        <w:rPr>
          <w:rFonts w:ascii="楷体" w:hAnsi="楷体" w:eastAsia="楷体"/>
          <w:b/>
          <w:szCs w:val="21"/>
        </w:rPr>
        <w:t>不得非法复制</w:t>
      </w:r>
      <w:r>
        <w:rPr>
          <w:rFonts w:hint="eastAsia" w:ascii="楷体" w:hAnsi="楷体" w:eastAsia="楷体"/>
          <w:b/>
          <w:szCs w:val="21"/>
        </w:rPr>
        <w:t>、</w:t>
      </w:r>
      <w:r>
        <w:rPr>
          <w:rFonts w:ascii="楷体" w:hAnsi="楷体" w:eastAsia="楷体"/>
          <w:b/>
          <w:szCs w:val="21"/>
        </w:rPr>
        <w:t>非法</w:t>
      </w:r>
      <w:r>
        <w:rPr>
          <w:rFonts w:hint="eastAsia" w:ascii="楷体" w:hAnsi="楷体" w:eastAsia="楷体"/>
          <w:b/>
          <w:szCs w:val="21"/>
        </w:rPr>
        <w:t>存储、</w:t>
      </w:r>
      <w:r>
        <w:rPr>
          <w:rFonts w:ascii="楷体" w:hAnsi="楷体" w:eastAsia="楷体"/>
          <w:b/>
          <w:szCs w:val="21"/>
        </w:rPr>
        <w:t>非法使用</w:t>
      </w:r>
      <w:r>
        <w:rPr>
          <w:rFonts w:hint="eastAsia" w:ascii="楷体" w:hAnsi="楷体" w:eastAsia="楷体"/>
          <w:b/>
          <w:szCs w:val="21"/>
        </w:rPr>
        <w:t>、</w:t>
      </w:r>
      <w:r>
        <w:rPr>
          <w:rFonts w:ascii="楷体" w:hAnsi="楷体" w:eastAsia="楷体"/>
          <w:b/>
          <w:szCs w:val="21"/>
        </w:rPr>
        <w:t>向他</w:t>
      </w:r>
      <w:r>
        <w:rPr>
          <w:rFonts w:hint="eastAsia" w:ascii="楷体" w:hAnsi="楷体" w:eastAsia="楷体"/>
          <w:b/>
          <w:szCs w:val="21"/>
        </w:rPr>
        <w:t>人</w:t>
      </w:r>
      <w:r>
        <w:rPr>
          <w:rFonts w:ascii="楷体" w:hAnsi="楷体" w:eastAsia="楷体"/>
          <w:b/>
          <w:szCs w:val="21"/>
        </w:rPr>
        <w:t>出售</w:t>
      </w:r>
      <w:r>
        <w:rPr>
          <w:rFonts w:hint="eastAsia" w:ascii="楷体" w:hAnsi="楷体" w:eastAsia="楷体"/>
          <w:b/>
          <w:szCs w:val="21"/>
        </w:rPr>
        <w:t>或者以</w:t>
      </w:r>
      <w:r>
        <w:rPr>
          <w:rFonts w:ascii="楷体" w:hAnsi="楷体" w:eastAsia="楷体"/>
          <w:b/>
          <w:szCs w:val="21"/>
        </w:rPr>
        <w:t>其他</w:t>
      </w:r>
      <w:r>
        <w:rPr>
          <w:rFonts w:hint="eastAsia" w:ascii="楷体" w:hAnsi="楷体" w:eastAsia="楷体"/>
          <w:b/>
          <w:szCs w:val="21"/>
        </w:rPr>
        <w:t>非法</w:t>
      </w:r>
      <w:r>
        <w:rPr>
          <w:rFonts w:ascii="楷体" w:hAnsi="楷体" w:eastAsia="楷体"/>
          <w:b/>
          <w:szCs w:val="21"/>
        </w:rPr>
        <w:t>形式</w:t>
      </w:r>
      <w:r>
        <w:rPr>
          <w:rFonts w:hint="eastAsia" w:ascii="楷体" w:hAnsi="楷体" w:eastAsia="楷体"/>
          <w:b/>
          <w:szCs w:val="21"/>
        </w:rPr>
        <w:t>泄露</w:t>
      </w:r>
      <w:r>
        <w:rPr>
          <w:rFonts w:ascii="楷体" w:hAnsi="楷体" w:eastAsia="楷体"/>
          <w:b/>
          <w:szCs w:val="21"/>
        </w:rPr>
        <w:t>个人</w:t>
      </w:r>
      <w:r>
        <w:rPr>
          <w:rFonts w:hint="eastAsia" w:ascii="楷体" w:hAnsi="楷体" w:eastAsia="楷体"/>
          <w:b/>
          <w:szCs w:val="21"/>
        </w:rPr>
        <w:t>金融</w:t>
      </w:r>
      <w:r>
        <w:rPr>
          <w:rFonts w:ascii="楷体" w:hAnsi="楷体" w:eastAsia="楷体"/>
          <w:b/>
          <w:szCs w:val="21"/>
        </w:rPr>
        <w:t>信息。</w:t>
      </w:r>
    </w:p>
    <w:p>
      <w:pPr>
        <w:pStyle w:val="12"/>
        <w:numPr>
          <w:ilvl w:val="0"/>
          <w:numId w:val="15"/>
        </w:numPr>
        <w:ind w:firstLineChars="0"/>
        <w:rPr>
          <w:rFonts w:ascii="楷体" w:hAnsi="楷体" w:eastAsia="楷体"/>
          <w:szCs w:val="21"/>
        </w:rPr>
      </w:pPr>
      <w:r>
        <w:rPr>
          <w:rFonts w:hint="eastAsia" w:ascii="楷体" w:hAnsi="楷体" w:eastAsia="楷体"/>
          <w:szCs w:val="21"/>
        </w:rPr>
        <w:t>任何一方不得将上述保密信息泄露给任何第三方，亦不得不正当的利用上述保密信息。任何一方的此等保密义务于本协议终止、变更或解除后继续存续，直至非因其自身原因而导致另一方保密信息公开为止。</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反商业贿赂</w:t>
      </w:r>
    </w:p>
    <w:p>
      <w:pPr>
        <w:pStyle w:val="12"/>
        <w:numPr>
          <w:ilvl w:val="0"/>
          <w:numId w:val="16"/>
        </w:numPr>
        <w:ind w:firstLineChars="0"/>
        <w:rPr>
          <w:rFonts w:ascii="楷体" w:hAnsi="楷体" w:eastAsia="楷体"/>
          <w:b/>
          <w:szCs w:val="21"/>
        </w:rPr>
      </w:pPr>
      <w:r>
        <w:rPr>
          <w:rFonts w:hint="eastAsia" w:ascii="楷体" w:hAnsi="楷体" w:eastAsia="楷体"/>
          <w:b/>
          <w:szCs w:val="21"/>
        </w:rPr>
        <w:t>商业贿赂</w:t>
      </w:r>
    </w:p>
    <w:p>
      <w:pPr>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本协议所指的商业贿赂是指甲方或甲方的工作人员以甲方或个人名义向乙方或乙方的工作人员实施的，包括但不限于以下行为：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给付或收受现金的贿赂行为;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给付或收受各种各样的费用(促销费、赞助费、广告宣传费、劳务费</w:t>
      </w:r>
      <w:r>
        <w:rPr>
          <w:rFonts w:hint="eastAsia" w:ascii="楷体" w:hAnsi="楷体" w:eastAsia="楷体"/>
          <w:color w:val="000000" w:themeColor="text1"/>
          <w:szCs w:val="21"/>
          <w14:textFill>
            <w14:solidFill>
              <w14:schemeClr w14:val="tx1"/>
            </w14:solidFill>
          </w14:textFill>
        </w:rPr>
        <w:t>、科研费、咨询费</w:t>
      </w:r>
      <w:r>
        <w:rPr>
          <w:rFonts w:ascii="楷体" w:hAnsi="楷体" w:eastAsia="楷体"/>
          <w:color w:val="000000" w:themeColor="text1"/>
          <w:szCs w:val="21"/>
          <w14:textFill>
            <w14:solidFill>
              <w14:schemeClr w14:val="tx1"/>
            </w14:solidFill>
          </w14:textFill>
        </w:rPr>
        <w:t>等)、红包、礼金等贿赂行为;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给付或收受有价证券(包括债券、股票等)</w:t>
      </w:r>
      <w:r>
        <w:rPr>
          <w:rFonts w:hint="eastAsia" w:ascii="楷体" w:hAnsi="楷体" w:eastAsia="楷体"/>
          <w:color w:val="000000" w:themeColor="text1"/>
          <w:szCs w:val="21"/>
          <w14:textFill>
            <w14:solidFill>
              <w14:schemeClr w14:val="tx1"/>
            </w14:solidFill>
          </w14:textFill>
        </w:rPr>
        <w:t>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w:t>
      </w:r>
      <w:r>
        <w:rPr>
          <w:rFonts w:hint="eastAsia" w:ascii="楷体" w:hAnsi="楷体" w:eastAsia="楷体"/>
          <w:color w:val="000000" w:themeColor="text1"/>
          <w:szCs w:val="21"/>
          <w14:textFill>
            <w14:solidFill>
              <w14:schemeClr w14:val="tx1"/>
            </w14:solidFill>
          </w14:textFill>
        </w:rPr>
        <w:t>免费或低价的股权、期权的行为；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给付或收受实物(包括各种高档生活用品、奢侈消费品、工艺品、收藏品等</w:t>
      </w:r>
      <w:r>
        <w:rPr>
          <w:rFonts w:hint="eastAsia" w:ascii="楷体" w:hAnsi="楷体" w:eastAsia="楷体"/>
          <w:color w:val="000000" w:themeColor="text1"/>
          <w:szCs w:val="21"/>
          <w14:textFill>
            <w14:solidFill>
              <w14:schemeClr w14:val="tx1"/>
            </w14:solidFill>
          </w14:textFill>
        </w:rPr>
        <w:t>，</w:t>
      </w:r>
      <w:r>
        <w:rPr>
          <w:rFonts w:ascii="楷体" w:hAnsi="楷体" w:eastAsia="楷体"/>
          <w:color w:val="000000" w:themeColor="text1"/>
          <w:szCs w:val="21"/>
          <w14:textFill>
            <w14:solidFill>
              <w14:schemeClr w14:val="tx1"/>
            </w14:solidFill>
          </w14:textFill>
        </w:rPr>
        <w:t>以及房屋、车辆等大宗商品)</w:t>
      </w:r>
      <w:r>
        <w:rPr>
          <w:rFonts w:hint="eastAsia" w:ascii="楷体" w:hAnsi="楷体" w:eastAsia="楷体"/>
          <w:color w:val="000000" w:themeColor="text1"/>
          <w:szCs w:val="21"/>
          <w14:textFill>
            <w14:solidFill>
              <w14:schemeClr w14:val="tx1"/>
            </w14:solidFill>
          </w14:textFill>
        </w:rPr>
        <w:t>的行为</w:t>
      </w:r>
      <w:r>
        <w:rPr>
          <w:rFonts w:ascii="楷体" w:hAnsi="楷体" w:eastAsia="楷体"/>
          <w:color w:val="000000" w:themeColor="text1"/>
          <w:szCs w:val="21"/>
          <w14:textFill>
            <w14:solidFill>
              <w14:schemeClr w14:val="tx1"/>
            </w14:solidFill>
          </w14:textFill>
        </w:rPr>
        <w:t>;</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以其他形态给付或收受(如</w:t>
      </w:r>
      <w:r>
        <w:rPr>
          <w:rFonts w:hint="eastAsia" w:ascii="楷体" w:hAnsi="楷体" w:eastAsia="楷体"/>
          <w:color w:val="000000" w:themeColor="text1"/>
          <w:szCs w:val="21"/>
          <w14:textFill>
            <w14:solidFill>
              <w14:schemeClr w14:val="tx1"/>
            </w14:solidFill>
          </w14:textFill>
        </w:rPr>
        <w:t>借款、</w:t>
      </w:r>
      <w:r>
        <w:rPr>
          <w:rFonts w:ascii="楷体" w:hAnsi="楷体" w:eastAsia="楷体"/>
          <w:color w:val="000000" w:themeColor="text1"/>
          <w:szCs w:val="21"/>
          <w14:textFill>
            <w14:solidFill>
              <w14:schemeClr w14:val="tx1"/>
            </w14:solidFill>
          </w14:textFill>
        </w:rPr>
        <w:t>减免债务、提供担保、免费娱乐、旅游、考察等财产性利益以及就学、荣誉、特殊待遇等非财产性利益)</w:t>
      </w:r>
      <w:r>
        <w:rPr>
          <w:rFonts w:hint="eastAsia" w:ascii="楷体" w:hAnsi="楷体" w:eastAsia="楷体"/>
          <w:color w:val="000000" w:themeColor="text1"/>
          <w:szCs w:val="21"/>
          <w14:textFill>
            <w14:solidFill>
              <w14:schemeClr w14:val="tx1"/>
            </w14:solidFill>
          </w14:textFill>
        </w:rPr>
        <w:t>的行为</w:t>
      </w:r>
      <w:r>
        <w:rPr>
          <w:rFonts w:ascii="楷体" w:hAnsi="楷体" w:eastAsia="楷体"/>
          <w:color w:val="000000" w:themeColor="text1"/>
          <w:szCs w:val="21"/>
          <w14:textFill>
            <w14:solidFill>
              <w14:schemeClr w14:val="tx1"/>
            </w14:solidFill>
          </w14:textFill>
        </w:rPr>
        <w:t>;</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给予或收受回扣</w:t>
      </w:r>
      <w:r>
        <w:rPr>
          <w:rFonts w:hint="eastAsia" w:ascii="楷体" w:hAnsi="楷体" w:eastAsia="楷体"/>
          <w:color w:val="000000" w:themeColor="text1"/>
          <w:szCs w:val="21"/>
          <w14:textFill>
            <w14:solidFill>
              <w14:schemeClr w14:val="tx1"/>
            </w14:solidFill>
          </w14:textFill>
        </w:rPr>
        <w:t>的行为</w:t>
      </w:r>
      <w:r>
        <w:rPr>
          <w:rFonts w:ascii="楷体" w:hAnsi="楷体" w:eastAsia="楷体"/>
          <w:color w:val="000000" w:themeColor="text1"/>
          <w:szCs w:val="21"/>
          <w14:textFill>
            <w14:solidFill>
              <w14:schemeClr w14:val="tx1"/>
            </w14:solidFill>
          </w14:textFill>
        </w:rPr>
        <w:t>;</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给予或收受佣金不如实入账，假借佣金之名进行商业贿赂</w:t>
      </w:r>
      <w:r>
        <w:rPr>
          <w:rFonts w:hint="eastAsia" w:ascii="楷体" w:hAnsi="楷体" w:eastAsia="楷体"/>
          <w:color w:val="000000" w:themeColor="text1"/>
          <w:szCs w:val="21"/>
          <w14:textFill>
            <w14:solidFill>
              <w14:schemeClr w14:val="tx1"/>
            </w14:solidFill>
          </w14:textFill>
        </w:rPr>
        <w:t>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ascii="楷体" w:hAnsi="楷体" w:eastAsia="楷体"/>
          <w:color w:val="000000" w:themeColor="text1"/>
          <w:szCs w:val="21"/>
          <w14:textFill>
            <w14:solidFill>
              <w14:schemeClr w14:val="tx1"/>
            </w14:solidFill>
          </w14:textFill>
        </w:rPr>
        <w:t>给付或收受</w:t>
      </w:r>
      <w:r>
        <w:rPr>
          <w:rFonts w:hint="eastAsia" w:ascii="楷体" w:hAnsi="楷体" w:eastAsia="楷体"/>
          <w:color w:val="000000" w:themeColor="text1"/>
          <w:szCs w:val="21"/>
          <w14:textFill>
            <w14:solidFill>
              <w14:schemeClr w14:val="tx1"/>
            </w14:solidFill>
          </w14:textFill>
        </w:rPr>
        <w:t>对方低于市场价格水平的商品或服务的行为；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赞助对方员工本人、员工亲戚、其他中间人及其所在企业组织的任何活动的行为；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为对方学习、培训、工作、晋升、发展提供便利，承担有关费用，或为对方人员的非工作性质出差提供吃穿住行等方面便利的行为；</w:t>
      </w:r>
    </w:p>
    <w:p>
      <w:pPr>
        <w:pStyle w:val="18"/>
        <w:numPr>
          <w:ilvl w:val="0"/>
          <w:numId w:val="17"/>
        </w:numPr>
        <w:ind w:firstLineChars="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《中华人民共和国刑法》、《中华人民共和国反不正当竞争法》等相关法律、法规禁止的其他商业贿赂行为；</w:t>
      </w:r>
    </w:p>
    <w:p>
      <w:pPr>
        <w:pStyle w:val="18"/>
        <w:numPr>
          <w:ilvl w:val="0"/>
          <w:numId w:val="17"/>
        </w:numPr>
        <w:ind w:firstLineChars="0"/>
        <w:rPr>
          <w:rFonts w:ascii="楷体" w:hAnsi="楷体" w:eastAsia="楷体"/>
          <w:szCs w:val="21"/>
        </w:rPr>
      </w:pPr>
      <w:r>
        <w:rPr>
          <w:rFonts w:hint="eastAsia" w:ascii="楷体" w:hAnsi="楷体" w:eastAsia="楷体"/>
          <w:szCs w:val="21"/>
        </w:rPr>
        <w:t xml:space="preserve">但不包括以下行为：  </w:t>
      </w:r>
    </w:p>
    <w:p>
      <w:pPr>
        <w:rPr>
          <w:rFonts w:ascii="楷体" w:hAnsi="楷体" w:eastAsia="楷体"/>
          <w:szCs w:val="21"/>
        </w:rPr>
      </w:pPr>
      <w:r>
        <w:rPr>
          <w:rFonts w:hint="eastAsia" w:ascii="楷体" w:hAnsi="楷体" w:eastAsia="楷体"/>
          <w:szCs w:val="21"/>
        </w:rPr>
        <w:t>（1）基于商业礼仪、赠送的单次市场总价为</w:t>
      </w:r>
      <w:r>
        <w:rPr>
          <w:rFonts w:ascii="楷体" w:hAnsi="楷体" w:eastAsia="楷体"/>
          <w:szCs w:val="21"/>
        </w:rPr>
        <w:t>500</w:t>
      </w:r>
      <w:r>
        <w:rPr>
          <w:rFonts w:hint="eastAsia" w:ascii="楷体" w:hAnsi="楷体" w:eastAsia="楷体"/>
          <w:szCs w:val="21"/>
        </w:rPr>
        <w:t xml:space="preserve">元以下的小礼品、地方特产；   </w:t>
      </w:r>
    </w:p>
    <w:p>
      <w:pPr>
        <w:rPr>
          <w:rFonts w:ascii="楷体" w:hAnsi="楷体" w:eastAsia="楷体"/>
          <w:szCs w:val="21"/>
        </w:rPr>
      </w:pPr>
      <w:r>
        <w:rPr>
          <w:rFonts w:hint="eastAsia" w:ascii="楷体" w:hAnsi="楷体" w:eastAsia="楷体"/>
          <w:szCs w:val="21"/>
        </w:rPr>
        <w:t>（2）基于商业接待礼仪，提供工作餐（</w:t>
      </w:r>
      <w:r>
        <w:rPr>
          <w:rFonts w:ascii="楷体" w:hAnsi="楷体" w:eastAsia="楷体"/>
          <w:szCs w:val="21"/>
        </w:rPr>
        <w:t>200</w:t>
      </w:r>
      <w:r>
        <w:rPr>
          <w:rFonts w:hint="eastAsia" w:ascii="楷体" w:hAnsi="楷体" w:eastAsia="楷体"/>
          <w:szCs w:val="21"/>
        </w:rPr>
        <w:t xml:space="preserve">元以下）、普通住宿、交通等与协议履行相关的工作方便； </w:t>
      </w:r>
    </w:p>
    <w:p>
      <w:pPr>
        <w:rPr>
          <w:rFonts w:ascii="楷体" w:hAnsi="楷体" w:eastAsia="楷体"/>
          <w:szCs w:val="21"/>
        </w:rPr>
      </w:pPr>
      <w:r>
        <w:rPr>
          <w:rFonts w:hint="eastAsia" w:ascii="楷体" w:hAnsi="楷体" w:eastAsia="楷体"/>
          <w:szCs w:val="21"/>
        </w:rPr>
        <w:t>（3）经乙方法务内审部书面备案批准，乙方“经理级”以上干部及其指派人员，因业务需要而参加供应商举行的餐会，但餐会后无其他任何性质的娱乐活动。</w:t>
      </w:r>
    </w:p>
    <w:p>
      <w:pPr>
        <w:pStyle w:val="12"/>
        <w:numPr>
          <w:ilvl w:val="0"/>
          <w:numId w:val="16"/>
        </w:numPr>
        <w:ind w:firstLineChars="0"/>
        <w:rPr>
          <w:rFonts w:ascii="楷体" w:hAnsi="楷体" w:eastAsia="楷体"/>
          <w:b/>
          <w:szCs w:val="21"/>
        </w:rPr>
      </w:pPr>
      <w:r>
        <w:rPr>
          <w:rFonts w:hint="eastAsia" w:ascii="楷体" w:hAnsi="楷体" w:eastAsia="楷体"/>
          <w:b/>
          <w:szCs w:val="21"/>
        </w:rPr>
        <w:t xml:space="preserve">协助义务 </w:t>
      </w:r>
    </w:p>
    <w:p>
      <w:pPr>
        <w:pStyle w:val="18"/>
        <w:numPr>
          <w:ilvl w:val="0"/>
          <w:numId w:val="18"/>
        </w:numPr>
        <w:ind w:firstLineChars="0"/>
        <w:rPr>
          <w:rFonts w:ascii="楷体" w:hAnsi="楷体" w:eastAsia="楷体"/>
          <w:szCs w:val="21"/>
        </w:rPr>
      </w:pPr>
      <w:r>
        <w:rPr>
          <w:rFonts w:hint="eastAsia" w:ascii="楷体" w:hAnsi="楷体" w:eastAsia="楷体"/>
          <w:szCs w:val="21"/>
        </w:rPr>
        <w:t>若乙方工作人员要求甲方或甲方工作人员以上述商业贿赂形式，给予其任何形式的不正当利益，甲方或甲方工作人员应予以拒绝并通过乙方设立的举报邮箱、举报信箱或其他书面方式告知乙方。甲方有义务向乙方提供相关证据，经乙方查实后作出处理，并承诺为甲方保密。对于甲方的协助，乙方将根据情况给予甲方更多的商业机会并对协助者本人视情况提供一定的现金奖励（为保密需要，此资金由乙方法务内审部填写领据，经董事长直接审批后支取现金，由法务内审部交给协助人或直接存入协助者私人账号）。</w:t>
      </w:r>
    </w:p>
    <w:p>
      <w:pPr>
        <w:pStyle w:val="18"/>
        <w:numPr>
          <w:ilvl w:val="0"/>
          <w:numId w:val="18"/>
        </w:numPr>
        <w:ind w:firstLineChars="0"/>
        <w:rPr>
          <w:rFonts w:ascii="楷体" w:hAnsi="楷体" w:eastAsia="楷体"/>
          <w:b/>
          <w:szCs w:val="21"/>
        </w:rPr>
      </w:pPr>
      <w:r>
        <w:rPr>
          <w:rFonts w:hint="eastAsia" w:ascii="楷体" w:hAnsi="楷体" w:eastAsia="楷体"/>
          <w:b/>
          <w:szCs w:val="21"/>
        </w:rPr>
        <w:t>乙方举报邮箱地址为：</w:t>
      </w:r>
      <w:r>
        <w:rPr>
          <w:rFonts w:ascii="楷体" w:hAnsi="楷体" w:eastAsia="楷体"/>
          <w:b/>
          <w:szCs w:val="21"/>
          <w:u w:val="single"/>
        </w:rPr>
        <w:t>audit@huifu.com</w:t>
      </w:r>
      <w:r>
        <w:rPr>
          <w:rFonts w:hint="eastAsia" w:ascii="楷体" w:hAnsi="楷体" w:eastAsia="楷体"/>
          <w:b/>
          <w:szCs w:val="21"/>
        </w:rPr>
        <w:t>；</w:t>
      </w:r>
      <w:r>
        <w:rPr>
          <w:rFonts w:ascii="楷体" w:hAnsi="楷体" w:eastAsia="楷体"/>
          <w:b/>
          <w:szCs w:val="21"/>
        </w:rPr>
        <w:t>举报信箱地址为</w:t>
      </w:r>
      <w:r>
        <w:rPr>
          <w:rFonts w:hint="eastAsia" w:ascii="楷体" w:hAnsi="楷体" w:eastAsia="楷体"/>
          <w:b/>
          <w:szCs w:val="21"/>
        </w:rPr>
        <w:t>：</w:t>
      </w:r>
      <w:r>
        <w:rPr>
          <w:rFonts w:hint="eastAsia" w:ascii="楷体" w:hAnsi="楷体" w:eastAsia="楷体"/>
          <w:b/>
          <w:szCs w:val="21"/>
          <w:u w:val="single"/>
        </w:rPr>
        <w:t>上海市宜山路</w:t>
      </w:r>
      <w:r>
        <w:rPr>
          <w:rFonts w:ascii="楷体" w:hAnsi="楷体" w:eastAsia="楷体"/>
          <w:b/>
          <w:szCs w:val="21"/>
          <w:u w:val="single"/>
        </w:rPr>
        <w:t>700号普天信息产业园2期C5栋1楼网安警务室对面</w:t>
      </w:r>
      <w:r>
        <w:rPr>
          <w:rFonts w:hint="eastAsia" w:ascii="楷体" w:hAnsi="楷体" w:eastAsia="楷体"/>
          <w:b/>
          <w:szCs w:val="21"/>
        </w:rPr>
        <w:t>。</w:t>
      </w:r>
    </w:p>
    <w:p>
      <w:pPr>
        <w:pStyle w:val="12"/>
        <w:numPr>
          <w:ilvl w:val="0"/>
          <w:numId w:val="16"/>
        </w:numPr>
        <w:ind w:firstLineChars="0"/>
        <w:rPr>
          <w:rFonts w:ascii="楷体" w:hAnsi="楷体" w:eastAsia="楷体"/>
          <w:b/>
          <w:szCs w:val="21"/>
        </w:rPr>
      </w:pPr>
      <w:r>
        <w:rPr>
          <w:rFonts w:hint="eastAsia" w:ascii="楷体" w:hAnsi="楷体" w:eastAsia="楷体"/>
          <w:b/>
          <w:szCs w:val="21"/>
        </w:rPr>
        <w:t>其它</w:t>
      </w:r>
    </w:p>
    <w:p>
      <w:pPr>
        <w:pStyle w:val="18"/>
        <w:numPr>
          <w:ilvl w:val="0"/>
          <w:numId w:val="19"/>
        </w:numPr>
        <w:ind w:firstLineChars="0"/>
        <w:rPr>
          <w:rFonts w:ascii="楷体" w:hAnsi="楷体" w:eastAsia="楷体"/>
          <w:b/>
          <w:szCs w:val="21"/>
        </w:rPr>
      </w:pPr>
      <w:r>
        <w:rPr>
          <w:rFonts w:hint="eastAsia" w:ascii="楷体" w:hAnsi="楷体" w:eastAsia="楷体"/>
          <w:szCs w:val="21"/>
        </w:rPr>
        <w:t>本条款适用于甲乙双方的任何商业合作项目。</w:t>
      </w:r>
    </w:p>
    <w:p>
      <w:pPr>
        <w:pStyle w:val="18"/>
        <w:numPr>
          <w:ilvl w:val="0"/>
          <w:numId w:val="19"/>
        </w:numPr>
        <w:ind w:firstLineChars="0"/>
        <w:rPr>
          <w:rFonts w:ascii="楷体" w:hAnsi="楷体" w:eastAsia="楷体"/>
          <w:szCs w:val="21"/>
        </w:rPr>
      </w:pPr>
      <w:r>
        <w:rPr>
          <w:rFonts w:hint="eastAsia" w:ascii="楷体" w:hAnsi="楷体" w:eastAsia="楷体"/>
          <w:szCs w:val="21"/>
        </w:rPr>
        <w:t>本条款自甲乙签署本协议之日起生效，至甲乙双方的任何商业项目合作协议终止之日起失效，如有多个商业项目合作协议，以最后终止的为准。</w:t>
      </w:r>
    </w:p>
    <w:p>
      <w:pPr>
        <w:rPr>
          <w:rFonts w:ascii="楷体" w:hAnsi="楷体" w:eastAsia="楷体"/>
          <w:b/>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协议终止</w:t>
      </w:r>
      <w:r>
        <w:rPr>
          <w:rFonts w:ascii="楷体" w:hAnsi="楷体" w:eastAsia="楷体"/>
          <w:b/>
          <w:szCs w:val="21"/>
        </w:rPr>
        <w:t>和解除</w:t>
      </w:r>
    </w:p>
    <w:p>
      <w:pPr>
        <w:pStyle w:val="12"/>
        <w:numPr>
          <w:ilvl w:val="0"/>
          <w:numId w:val="20"/>
        </w:numPr>
        <w:ind w:firstLineChars="0"/>
        <w:rPr>
          <w:rFonts w:ascii="楷体" w:hAnsi="楷体" w:eastAsia="楷体"/>
          <w:szCs w:val="21"/>
        </w:rPr>
      </w:pPr>
      <w:r>
        <w:rPr>
          <w:rFonts w:hint="eastAsia" w:ascii="楷体" w:hAnsi="楷体" w:eastAsia="楷体"/>
          <w:szCs w:val="21"/>
        </w:rPr>
        <w:t>除</w:t>
      </w:r>
      <w:r>
        <w:rPr>
          <w:rFonts w:ascii="楷体" w:hAnsi="楷体" w:eastAsia="楷体"/>
          <w:szCs w:val="21"/>
        </w:rPr>
        <w:t>本协议另有约定外，</w:t>
      </w:r>
      <w:r>
        <w:rPr>
          <w:rFonts w:hint="eastAsia" w:ascii="楷体" w:hAnsi="楷体" w:eastAsia="楷体"/>
          <w:szCs w:val="21"/>
        </w:rPr>
        <w:t>在本协议有效期内，甲乙双方通过友好协商，可签署书面协议解除本协议。</w:t>
      </w:r>
    </w:p>
    <w:p>
      <w:pPr>
        <w:pStyle w:val="12"/>
        <w:numPr>
          <w:ilvl w:val="0"/>
          <w:numId w:val="20"/>
        </w:numPr>
        <w:ind w:firstLineChars="0"/>
        <w:rPr>
          <w:rFonts w:ascii="楷体" w:hAnsi="楷体" w:eastAsia="楷体"/>
          <w:szCs w:val="21"/>
        </w:rPr>
      </w:pPr>
      <w:r>
        <w:rPr>
          <w:rFonts w:hint="eastAsia" w:ascii="楷体" w:hAnsi="楷体" w:eastAsia="楷体"/>
          <w:szCs w:val="21"/>
        </w:rPr>
        <w:t>双方于本协议终止后停止进行新的业务，但并不因此停止对于已经发生的业务的合作，也不导致对已经发生之业务的后续监管要求的配合，例如调单、</w:t>
      </w:r>
      <w:r>
        <w:rPr>
          <w:rFonts w:ascii="楷体" w:hAnsi="楷体" w:eastAsia="楷体"/>
          <w:szCs w:val="21"/>
        </w:rPr>
        <w:t>拒付</w:t>
      </w:r>
      <w:r>
        <w:rPr>
          <w:rFonts w:hint="eastAsia" w:ascii="楷体" w:hAnsi="楷体" w:eastAsia="楷体"/>
          <w:szCs w:val="21"/>
        </w:rPr>
        <w:t>等发生</w:t>
      </w:r>
      <w:r>
        <w:rPr>
          <w:rFonts w:ascii="楷体" w:hAnsi="楷体" w:eastAsia="楷体"/>
          <w:szCs w:val="21"/>
        </w:rPr>
        <w:t>在</w:t>
      </w:r>
      <w:r>
        <w:rPr>
          <w:rFonts w:hint="eastAsia" w:ascii="楷体" w:hAnsi="楷体" w:eastAsia="楷体"/>
          <w:szCs w:val="21"/>
        </w:rPr>
        <w:t>协议</w:t>
      </w:r>
      <w:r>
        <w:rPr>
          <w:rFonts w:ascii="楷体" w:hAnsi="楷体" w:eastAsia="楷体"/>
          <w:szCs w:val="21"/>
        </w:rPr>
        <w:t>有效期间的业务中的异常交易</w:t>
      </w:r>
      <w:r>
        <w:rPr>
          <w:rFonts w:hint="eastAsia" w:ascii="楷体" w:hAnsi="楷体" w:eastAsia="楷体"/>
          <w:szCs w:val="21"/>
        </w:rPr>
        <w:t>，</w:t>
      </w:r>
      <w:r>
        <w:rPr>
          <w:rFonts w:ascii="楷体" w:hAnsi="楷体" w:eastAsia="楷体"/>
          <w:szCs w:val="21"/>
        </w:rPr>
        <w:t>相关义务的履行</w:t>
      </w:r>
      <w:r>
        <w:rPr>
          <w:rFonts w:hint="eastAsia" w:ascii="楷体" w:hAnsi="楷体" w:eastAsia="楷体"/>
          <w:szCs w:val="21"/>
        </w:rPr>
        <w:t>。双方对于本协议终止日前发生的综合支付服务，仍然按照本协议约定的义务内容执行。</w:t>
      </w:r>
    </w:p>
    <w:p>
      <w:pPr>
        <w:pStyle w:val="12"/>
        <w:numPr>
          <w:ilvl w:val="0"/>
          <w:numId w:val="20"/>
        </w:numPr>
        <w:ind w:firstLineChars="0"/>
        <w:rPr>
          <w:rFonts w:ascii="楷体" w:hAnsi="楷体" w:eastAsia="楷体"/>
          <w:szCs w:val="21"/>
        </w:rPr>
      </w:pPr>
      <w:r>
        <w:rPr>
          <w:rFonts w:hint="eastAsia" w:ascii="楷体" w:hAnsi="楷体" w:eastAsia="楷体"/>
          <w:szCs w:val="21"/>
        </w:rPr>
        <w:t>甲方违反国家法律、法规、金融监管规定的或本协议下合作模式后继立法、监管规定影响无法继续开展的，乙方有权终止协议且不视为违约。</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违约</w:t>
      </w:r>
      <w:r>
        <w:rPr>
          <w:rFonts w:ascii="楷体" w:hAnsi="楷体" w:eastAsia="楷体"/>
          <w:b/>
          <w:szCs w:val="21"/>
        </w:rPr>
        <w:t>责任</w:t>
      </w:r>
    </w:p>
    <w:p>
      <w:pPr>
        <w:pStyle w:val="12"/>
        <w:numPr>
          <w:ilvl w:val="0"/>
          <w:numId w:val="21"/>
        </w:numPr>
        <w:ind w:firstLineChars="0"/>
        <w:rPr>
          <w:rFonts w:ascii="楷体" w:hAnsi="楷体" w:eastAsia="楷体"/>
          <w:szCs w:val="21"/>
        </w:rPr>
      </w:pPr>
      <w:r>
        <w:rPr>
          <w:rFonts w:hint="eastAsia" w:ascii="楷体" w:hAnsi="楷体" w:eastAsia="楷体"/>
          <w:szCs w:val="21"/>
        </w:rPr>
        <w:t>甲乙双方中的任何一方违反在本协议中所做的保证、承诺或其他条款，均构成违约，因违约而给他方造成损失的，违约方应承担赔偿责任。</w:t>
      </w:r>
    </w:p>
    <w:p>
      <w:pPr>
        <w:pStyle w:val="12"/>
        <w:numPr>
          <w:ilvl w:val="0"/>
          <w:numId w:val="21"/>
        </w:numPr>
        <w:ind w:firstLineChars="0"/>
        <w:rPr>
          <w:rFonts w:ascii="楷体" w:hAnsi="楷体" w:eastAsia="楷体"/>
          <w:szCs w:val="21"/>
        </w:rPr>
      </w:pPr>
      <w:r>
        <w:rPr>
          <w:rFonts w:hint="eastAsia" w:ascii="楷体" w:hAnsi="楷体" w:eastAsia="楷体"/>
          <w:szCs w:val="21"/>
        </w:rPr>
        <w:t>一方违约后，任何一方均应当采取适当措施防止损失的扩大，没有采取适当措施致使损失扩大的一方不得就扩大的损失要求赔偿。</w:t>
      </w:r>
    </w:p>
    <w:p>
      <w:pPr>
        <w:pStyle w:val="12"/>
        <w:numPr>
          <w:ilvl w:val="0"/>
          <w:numId w:val="21"/>
        </w:numPr>
        <w:ind w:firstLineChars="0"/>
        <w:rPr>
          <w:rFonts w:ascii="楷体" w:hAnsi="楷体" w:eastAsia="楷体"/>
          <w:szCs w:val="21"/>
        </w:rPr>
      </w:pPr>
      <w:r>
        <w:rPr>
          <w:rFonts w:hint="eastAsia" w:ascii="楷体" w:hAnsi="楷体" w:eastAsia="楷体"/>
          <w:szCs w:val="21"/>
        </w:rPr>
        <w:t>若甲方违反反商业贿赂条款约定，乙方将采取包括但不限于以下措施：</w:t>
      </w:r>
    </w:p>
    <w:p>
      <w:pPr>
        <w:pStyle w:val="12"/>
        <w:numPr>
          <w:ilvl w:val="0"/>
          <w:numId w:val="22"/>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有权停止与甲方的一切合作且不被视为是违约行为，乙方有权对甲方采取诸如冻结所有应付账款的措施，并扣留协议总价款的30%但不低于人民币1万元的金额作为甲方的违约金（已经预付或款项不足的，可以向甲方追索），或向法院诉请甲方赔偿乙方的一切名誉及商业损失。</w:t>
      </w:r>
    </w:p>
    <w:p>
      <w:pPr>
        <w:pStyle w:val="12"/>
        <w:numPr>
          <w:ilvl w:val="0"/>
          <w:numId w:val="22"/>
        </w:numPr>
        <w:adjustRightInd w:val="0"/>
        <w:snapToGrid w:val="0"/>
        <w:ind w:firstLineChars="0"/>
        <w:rPr>
          <w:rFonts w:ascii="楷体_GB2312" w:hAnsi="Times New Roman" w:eastAsia="楷体_GB2312" w:cs="Times New Roman"/>
          <w:szCs w:val="21"/>
        </w:rPr>
      </w:pPr>
      <w:r>
        <w:rPr>
          <w:rFonts w:hint="eastAsia" w:ascii="楷体_GB2312" w:hAnsi="Times New Roman" w:eastAsia="楷体_GB2312" w:cs="Times New Roman"/>
          <w:szCs w:val="21"/>
        </w:rPr>
        <w:t>乙方法务内审部将在乙方内部公布此等违约方名录，在不少于</w:t>
      </w:r>
      <w:r>
        <w:rPr>
          <w:rFonts w:ascii="楷体_GB2312" w:hAnsi="Times New Roman" w:eastAsia="楷体_GB2312" w:cs="Times New Roman"/>
          <w:szCs w:val="21"/>
        </w:rPr>
        <w:t>5</w:t>
      </w:r>
      <w:r>
        <w:rPr>
          <w:rFonts w:hint="eastAsia" w:ascii="楷体_GB2312" w:hAnsi="Times New Roman" w:eastAsia="楷体_GB2312" w:cs="Times New Roman"/>
          <w:szCs w:val="21"/>
        </w:rPr>
        <w:t>年的时间内，名录中的单位将不再允许与乙方及其关联公司进行任何形式的业务合作。</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免责条款</w:t>
      </w:r>
      <w:r>
        <w:rPr>
          <w:rFonts w:ascii="楷体" w:hAnsi="楷体" w:eastAsia="楷体"/>
          <w:b/>
          <w:szCs w:val="21"/>
        </w:rPr>
        <w:t>及</w:t>
      </w:r>
      <w:r>
        <w:rPr>
          <w:rFonts w:hint="eastAsia" w:ascii="楷体" w:hAnsi="楷体" w:eastAsia="楷体"/>
          <w:b/>
          <w:szCs w:val="21"/>
        </w:rPr>
        <w:t>后继立法</w:t>
      </w:r>
    </w:p>
    <w:p>
      <w:pPr>
        <w:pStyle w:val="12"/>
        <w:numPr>
          <w:ilvl w:val="0"/>
          <w:numId w:val="23"/>
        </w:numPr>
        <w:ind w:firstLineChars="0"/>
        <w:rPr>
          <w:rFonts w:ascii="楷体" w:hAnsi="楷体" w:eastAsia="楷体"/>
          <w:szCs w:val="21"/>
        </w:rPr>
      </w:pPr>
      <w:r>
        <w:rPr>
          <w:rFonts w:hint="eastAsia" w:ascii="楷体" w:hAnsi="楷体" w:eastAsia="楷体"/>
          <w:szCs w:val="21"/>
        </w:rPr>
        <w:t>任何一方或双方由于战争及自然灾害、政府行为等不可抗力因素，或法律法规变更、</w:t>
      </w:r>
      <w:r>
        <w:rPr>
          <w:rFonts w:ascii="楷体" w:hAnsi="楷体" w:eastAsia="楷体"/>
          <w:szCs w:val="21"/>
        </w:rPr>
        <w:t>银行、电信运营商系统故障、调整升级，或电力中断，或现有技术能力无法防御的黑客攻击、技术故障等原因造成</w:t>
      </w:r>
      <w:r>
        <w:rPr>
          <w:rFonts w:hint="eastAsia" w:ascii="楷体" w:hAnsi="楷体" w:eastAsia="楷体"/>
          <w:szCs w:val="21"/>
        </w:rPr>
        <w:t>乙方</w:t>
      </w:r>
      <w:r>
        <w:rPr>
          <w:rFonts w:ascii="楷体" w:hAnsi="楷体" w:eastAsia="楷体"/>
          <w:szCs w:val="21"/>
        </w:rPr>
        <w:t>支付服务系统无法正常运作</w:t>
      </w:r>
      <w:r>
        <w:rPr>
          <w:rFonts w:hint="eastAsia" w:ascii="楷体" w:hAnsi="楷体" w:eastAsia="楷体"/>
          <w:szCs w:val="21"/>
        </w:rPr>
        <w:t>和其他不能预见、不可避免及不能克服的事件导致无法如约履行本协议的，受事件影响的一方或双方可以免除违约责任。</w:t>
      </w:r>
    </w:p>
    <w:p>
      <w:pPr>
        <w:pStyle w:val="12"/>
        <w:numPr>
          <w:ilvl w:val="0"/>
          <w:numId w:val="23"/>
        </w:numPr>
        <w:ind w:firstLineChars="0"/>
        <w:rPr>
          <w:rFonts w:ascii="楷体" w:hAnsi="楷体" w:eastAsia="楷体"/>
          <w:szCs w:val="21"/>
        </w:rPr>
      </w:pPr>
      <w:r>
        <w:rPr>
          <w:rFonts w:hint="eastAsia" w:ascii="楷体" w:hAnsi="楷体" w:eastAsia="楷体"/>
          <w:szCs w:val="21"/>
        </w:rPr>
        <w:t>因国家后继立法或法律规定变更与本协议不一致时，双方可根据国家后继立法或法律规定对本协议进行修改或补充。</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hint="eastAsia" w:ascii="楷体" w:hAnsi="楷体" w:eastAsia="楷体"/>
          <w:b/>
          <w:szCs w:val="21"/>
        </w:rPr>
        <w:t>适用</w:t>
      </w:r>
      <w:r>
        <w:rPr>
          <w:rFonts w:ascii="楷体" w:hAnsi="楷体" w:eastAsia="楷体"/>
          <w:b/>
          <w:szCs w:val="21"/>
        </w:rPr>
        <w:t>法律及争议解决</w:t>
      </w:r>
    </w:p>
    <w:p>
      <w:pPr>
        <w:pStyle w:val="12"/>
        <w:numPr>
          <w:ilvl w:val="0"/>
          <w:numId w:val="24"/>
        </w:numPr>
        <w:ind w:firstLineChars="0"/>
        <w:rPr>
          <w:rFonts w:ascii="楷体" w:hAnsi="楷体" w:eastAsia="楷体"/>
          <w:szCs w:val="21"/>
        </w:rPr>
      </w:pPr>
      <w:r>
        <w:rPr>
          <w:rFonts w:hint="eastAsia" w:ascii="楷体" w:hAnsi="楷体" w:eastAsia="楷体"/>
          <w:szCs w:val="21"/>
        </w:rPr>
        <w:t>本协议的解释、适用、争议解决等一切事宜，均适用中华人民共和国法律（香港特别行政区、澳门特别行政区和台湾地区的法律除外），冲突法规则除外。</w:t>
      </w:r>
    </w:p>
    <w:p>
      <w:pPr>
        <w:pStyle w:val="12"/>
        <w:numPr>
          <w:ilvl w:val="0"/>
          <w:numId w:val="24"/>
        </w:numPr>
        <w:ind w:firstLineChars="0"/>
        <w:rPr>
          <w:rFonts w:ascii="楷体" w:hAnsi="楷体" w:eastAsia="楷体"/>
          <w:szCs w:val="21"/>
        </w:rPr>
      </w:pPr>
      <w:r>
        <w:rPr>
          <w:rFonts w:hint="eastAsia" w:ascii="楷体" w:hAnsi="楷体" w:eastAsia="楷体"/>
          <w:szCs w:val="21"/>
        </w:rPr>
        <w:t>因本协议产生任何纠纷时，各方应友好协商，协商不成的，各方应将争议提交乙方住所地有管辖权的人民法院诉讼解决。</w:t>
      </w:r>
    </w:p>
    <w:p>
      <w:pPr>
        <w:rPr>
          <w:rFonts w:ascii="楷体" w:hAnsi="楷体" w:eastAsia="楷体"/>
          <w:szCs w:val="21"/>
        </w:rPr>
      </w:pPr>
    </w:p>
    <w:p>
      <w:pPr>
        <w:pStyle w:val="12"/>
        <w:numPr>
          <w:ilvl w:val="0"/>
          <w:numId w:val="5"/>
        </w:numPr>
        <w:ind w:firstLineChars="0"/>
        <w:rPr>
          <w:rFonts w:ascii="楷体" w:hAnsi="楷体" w:eastAsia="楷体"/>
          <w:b/>
          <w:szCs w:val="21"/>
        </w:rPr>
      </w:pPr>
      <w:r>
        <w:rPr>
          <w:rFonts w:ascii="楷体" w:hAnsi="楷体" w:eastAsia="楷体"/>
          <w:b/>
          <w:szCs w:val="21"/>
        </w:rPr>
        <w:t>其他</w:t>
      </w:r>
      <w:r>
        <w:rPr>
          <w:rFonts w:hint="eastAsia" w:ascii="楷体" w:hAnsi="楷体" w:eastAsia="楷体"/>
          <w:b/>
          <w:szCs w:val="21"/>
        </w:rPr>
        <w:t>条款</w:t>
      </w:r>
    </w:p>
    <w:p>
      <w:pPr>
        <w:pStyle w:val="12"/>
        <w:numPr>
          <w:ilvl w:val="0"/>
          <w:numId w:val="25"/>
        </w:numPr>
        <w:ind w:firstLineChars="0"/>
        <w:rPr>
          <w:rFonts w:ascii="楷体" w:hAnsi="楷体" w:eastAsia="楷体"/>
          <w:szCs w:val="21"/>
        </w:rPr>
      </w:pPr>
      <w:r>
        <w:rPr>
          <w:rFonts w:hint="eastAsia" w:ascii="楷体" w:hAnsi="楷体" w:eastAsia="楷体"/>
          <w:szCs w:val="21"/>
        </w:rPr>
        <w:t>按照本协议须向一方送达的任何文件或通知，应按照本协议首页所约定的办公地址发送。如以邮件（包括但不限于挂号邮件方式）方式发送该等文件或通告，则于寄出后第五个工作日被视为已送达收件人。如以快递的方式发送该等文件或通告，且收发方在同一城市的，则于投送快递第二个工作日被视为已送达收件人，但收发方在不同国家或不同城市，则于投送快递后第五个工作日将被视为已送达收件人；如以传真的方式发送该等文件或通告，则发送传真的当日被视为已送达收件人。</w:t>
      </w:r>
    </w:p>
    <w:p>
      <w:pPr>
        <w:pStyle w:val="12"/>
        <w:numPr>
          <w:ilvl w:val="0"/>
          <w:numId w:val="25"/>
        </w:numPr>
        <w:ind w:firstLineChars="0"/>
        <w:rPr>
          <w:rFonts w:ascii="楷体" w:hAnsi="楷体" w:eastAsia="楷体"/>
          <w:szCs w:val="21"/>
        </w:rPr>
      </w:pPr>
      <w:r>
        <w:rPr>
          <w:rFonts w:hint="eastAsia" w:ascii="楷体" w:hAnsi="楷体" w:eastAsia="楷体"/>
          <w:szCs w:val="21"/>
        </w:rPr>
        <w:t>如双方于本协议生效前签订过任何同类协议的，自本协议生效之日起，以往签订的同类协议终止。如本协议的约定与双方以往签署的任何同类协议相冲突或相覆盖的，以本协议为准。</w:t>
      </w:r>
    </w:p>
    <w:p>
      <w:pPr>
        <w:pStyle w:val="12"/>
        <w:numPr>
          <w:ilvl w:val="0"/>
          <w:numId w:val="25"/>
        </w:numPr>
        <w:ind w:firstLineChars="0"/>
        <w:rPr>
          <w:rFonts w:ascii="楷体" w:hAnsi="楷体" w:eastAsia="楷体"/>
          <w:szCs w:val="21"/>
        </w:rPr>
      </w:pPr>
      <w:r>
        <w:rPr>
          <w:rFonts w:hint="eastAsia" w:ascii="楷体" w:hAnsi="楷体" w:eastAsia="楷体"/>
          <w:szCs w:val="21"/>
        </w:rPr>
        <w:t>本协议壹式贰份，甲乙双方各执壹份，每份具有同等法律效力。</w:t>
      </w:r>
    </w:p>
    <w:p>
      <w:pPr>
        <w:rPr>
          <w:rFonts w:ascii="楷体" w:hAnsi="楷体" w:eastAsia="楷体"/>
          <w:szCs w:val="21"/>
        </w:rPr>
      </w:pPr>
    </w:p>
    <w:p>
      <w:pPr>
        <w:pStyle w:val="12"/>
        <w:numPr>
          <w:ilvl w:val="0"/>
          <w:numId w:val="2"/>
        </w:numPr>
        <w:ind w:firstLineChars="0"/>
        <w:jc w:val="center"/>
        <w:rPr>
          <w:rFonts w:ascii="楷体" w:hAnsi="楷体" w:eastAsia="楷体"/>
          <w:b/>
          <w:bCs/>
          <w:szCs w:val="21"/>
        </w:rPr>
      </w:pPr>
      <w:r>
        <w:rPr>
          <w:rFonts w:hint="eastAsia" w:ascii="楷体" w:hAnsi="楷体" w:eastAsia="楷体"/>
          <w:b/>
          <w:bCs/>
          <w:szCs w:val="21"/>
        </w:rPr>
        <w:t>产品细则</w:t>
      </w:r>
    </w:p>
    <w:p>
      <w:pPr>
        <w:pStyle w:val="12"/>
        <w:numPr>
          <w:ilvl w:val="0"/>
          <w:numId w:val="26"/>
        </w:numPr>
        <w:ind w:firstLineChars="0"/>
        <w:rPr>
          <w:rFonts w:ascii="楷体" w:hAnsi="楷体" w:eastAsia="楷体"/>
          <w:b/>
          <w:szCs w:val="21"/>
        </w:rPr>
      </w:pPr>
      <w:r>
        <w:rPr>
          <w:rFonts w:hint="eastAsia" w:ascii="楷体" w:hAnsi="楷体" w:eastAsia="楷体"/>
          <w:b/>
          <w:szCs w:val="21"/>
        </w:rPr>
        <w:t>银行卡</w:t>
      </w:r>
      <w:r>
        <w:rPr>
          <w:rFonts w:ascii="楷体" w:hAnsi="楷体" w:eastAsia="楷体"/>
          <w:b/>
          <w:szCs w:val="21"/>
        </w:rPr>
        <w:t>收单</w:t>
      </w:r>
      <w:r>
        <w:rPr>
          <w:rFonts w:hint="eastAsia" w:ascii="楷体" w:hAnsi="楷体" w:eastAsia="楷体"/>
          <w:b/>
          <w:szCs w:val="21"/>
        </w:rPr>
        <w:t>产品</w:t>
      </w:r>
    </w:p>
    <w:p>
      <w:pPr>
        <w:pStyle w:val="12"/>
        <w:numPr>
          <w:ilvl w:val="0"/>
          <w:numId w:val="27"/>
        </w:numPr>
        <w:ind w:firstLineChars="0"/>
        <w:rPr>
          <w:rFonts w:ascii="楷体" w:hAnsi="楷体" w:eastAsia="楷体"/>
          <w:b/>
          <w:szCs w:val="21"/>
        </w:rPr>
      </w:pPr>
      <w:r>
        <w:rPr>
          <w:rFonts w:hint="eastAsia" w:ascii="楷体" w:hAnsi="楷体" w:eastAsia="楷体"/>
          <w:b/>
          <w:szCs w:val="21"/>
        </w:rPr>
        <w:t>银行卡</w:t>
      </w:r>
      <w:r>
        <w:rPr>
          <w:rFonts w:ascii="楷体" w:hAnsi="楷体" w:eastAsia="楷体"/>
          <w:b/>
          <w:szCs w:val="21"/>
        </w:rPr>
        <w:t>支付</w:t>
      </w:r>
    </w:p>
    <w:p>
      <w:pPr>
        <w:pStyle w:val="12"/>
        <w:numPr>
          <w:ilvl w:val="0"/>
          <w:numId w:val="28"/>
        </w:numPr>
        <w:ind w:firstLineChars="0"/>
        <w:rPr>
          <w:rFonts w:ascii="楷体" w:hAnsi="楷体" w:eastAsia="楷体"/>
          <w:b/>
          <w:szCs w:val="21"/>
        </w:rPr>
      </w:pPr>
      <w:r>
        <w:rPr>
          <w:rFonts w:hint="eastAsia" w:ascii="楷体" w:hAnsi="楷体" w:eastAsia="楷体"/>
          <w:szCs w:val="21"/>
        </w:rPr>
        <w:t>甲方应积极配合乙方在其营业场所指定收银台粘贴或摆放银行卡或</w:t>
      </w:r>
      <w:r>
        <w:rPr>
          <w:rFonts w:ascii="楷体" w:hAnsi="楷体" w:eastAsia="楷体"/>
          <w:szCs w:val="21"/>
        </w:rPr>
        <w:t>条码支付</w:t>
      </w:r>
      <w:r>
        <w:rPr>
          <w:rFonts w:hint="eastAsia" w:ascii="楷体" w:hAnsi="楷体" w:eastAsia="楷体"/>
          <w:szCs w:val="21"/>
        </w:rPr>
        <w:t>受理标识，不得将该受理标识用于其他任何用途。</w:t>
      </w:r>
    </w:p>
    <w:p>
      <w:pPr>
        <w:pStyle w:val="12"/>
        <w:numPr>
          <w:ilvl w:val="0"/>
          <w:numId w:val="28"/>
        </w:numPr>
        <w:ind w:firstLineChars="0"/>
        <w:rPr>
          <w:rFonts w:ascii="楷体" w:hAnsi="楷体" w:eastAsia="楷体"/>
          <w:b/>
          <w:szCs w:val="21"/>
        </w:rPr>
      </w:pPr>
      <w:r>
        <w:rPr>
          <w:rFonts w:hint="eastAsia" w:ascii="楷体" w:hAnsi="楷体" w:eastAsia="楷体"/>
          <w:szCs w:val="21"/>
        </w:rPr>
        <w:t>持卡人提出符合交易规定的刷卡消费要求，甲方不得拒绝。持卡人使用银行卡支付应被视同现金支付。</w:t>
      </w:r>
    </w:p>
    <w:p>
      <w:pPr>
        <w:pStyle w:val="12"/>
        <w:numPr>
          <w:ilvl w:val="0"/>
          <w:numId w:val="28"/>
        </w:numPr>
        <w:ind w:firstLineChars="0"/>
        <w:rPr>
          <w:rFonts w:ascii="楷体" w:hAnsi="楷体" w:eastAsia="楷体"/>
          <w:b/>
          <w:szCs w:val="21"/>
        </w:rPr>
      </w:pPr>
      <w:r>
        <w:rPr>
          <w:rFonts w:hint="eastAsia" w:ascii="楷体" w:hAnsi="楷体" w:eastAsia="楷体"/>
          <w:b/>
          <w:szCs w:val="21"/>
        </w:rPr>
        <w:t>甲方应保证签购单上信息与商户消费凭证、银行卡等信息保持一致，并根据银行要求和交易安全的需要，妥善保管持卡人签字确认的签购单及相关凭证（包括但不限于订单、发货凭证及乙方要求的其他交易资料）至少两年以上。签购单及消费凭证不得涂改，否则视为无效单据。如因甲方保管不当或遗失造成的经济损失由甲方承担。</w:t>
      </w:r>
    </w:p>
    <w:p>
      <w:pPr>
        <w:pStyle w:val="12"/>
        <w:numPr>
          <w:ilvl w:val="0"/>
          <w:numId w:val="28"/>
        </w:numPr>
        <w:ind w:firstLineChars="0"/>
        <w:rPr>
          <w:rFonts w:ascii="楷体" w:hAnsi="楷体" w:eastAsia="楷体"/>
          <w:szCs w:val="21"/>
        </w:rPr>
      </w:pPr>
      <w:r>
        <w:rPr>
          <w:rFonts w:hint="eastAsia" w:ascii="楷体" w:hAnsi="楷体" w:eastAsia="楷体"/>
          <w:szCs w:val="21"/>
        </w:rPr>
        <w:t>若发卡行或乙方要求甲方必须在相关方履行相关义务后（例如签订书面分期付款协议等）才能提供商品或服务的，甲方必须按照发卡行或乙方要求进行操作。如甲方违反此规定造成乙方或发卡行行损失的，甲方须承担赔偿责任。</w:t>
      </w:r>
    </w:p>
    <w:p>
      <w:pPr>
        <w:pStyle w:val="12"/>
        <w:numPr>
          <w:ilvl w:val="0"/>
          <w:numId w:val="28"/>
        </w:numPr>
        <w:ind w:firstLineChars="0"/>
        <w:rPr>
          <w:rFonts w:ascii="楷体" w:hAnsi="楷体" w:eastAsia="楷体"/>
          <w:b/>
          <w:szCs w:val="21"/>
        </w:rPr>
      </w:pPr>
      <w:r>
        <w:rPr>
          <w:rFonts w:hint="eastAsia" w:ascii="楷体" w:hAnsi="楷体" w:eastAsia="楷体"/>
          <w:b/>
          <w:szCs w:val="21"/>
        </w:rPr>
        <w:t>甲方应遵循银联</w:t>
      </w:r>
      <w:r>
        <w:rPr>
          <w:rFonts w:ascii="楷体" w:hAnsi="楷体" w:eastAsia="楷体"/>
          <w:b/>
          <w:szCs w:val="21"/>
        </w:rPr>
        <w:t>的相关操作规范，</w:t>
      </w:r>
      <w:r>
        <w:rPr>
          <w:rFonts w:hint="eastAsia" w:ascii="楷体" w:hAnsi="楷体" w:eastAsia="楷体"/>
          <w:b/>
          <w:szCs w:val="21"/>
        </w:rPr>
        <w:t>并按照下述</w:t>
      </w:r>
      <w:r>
        <w:rPr>
          <w:rFonts w:ascii="楷体" w:hAnsi="楷体" w:eastAsia="楷体"/>
          <w:b/>
          <w:szCs w:val="21"/>
        </w:rPr>
        <w:t>《操作指南》</w:t>
      </w:r>
      <w:r>
        <w:rPr>
          <w:rFonts w:hint="eastAsia" w:ascii="楷体" w:hAnsi="楷体" w:eastAsia="楷体"/>
          <w:b/>
          <w:szCs w:val="21"/>
        </w:rPr>
        <w:t>受理</w:t>
      </w:r>
      <w:r>
        <w:rPr>
          <w:rFonts w:ascii="楷体" w:hAnsi="楷体" w:eastAsia="楷体"/>
          <w:b/>
          <w:szCs w:val="21"/>
        </w:rPr>
        <w:t>银行卡</w:t>
      </w:r>
      <w:r>
        <w:rPr>
          <w:rFonts w:hint="eastAsia" w:ascii="楷体" w:hAnsi="楷体" w:eastAsia="楷体"/>
          <w:b/>
          <w:szCs w:val="21"/>
        </w:rPr>
        <w:t>，</w:t>
      </w:r>
      <w:r>
        <w:rPr>
          <w:rFonts w:ascii="楷体" w:hAnsi="楷体" w:eastAsia="楷体"/>
          <w:b/>
          <w:szCs w:val="21"/>
        </w:rPr>
        <w:t>甲方未按操作规范受理银行卡，造成的损失由甲方</w:t>
      </w:r>
      <w:r>
        <w:rPr>
          <w:rFonts w:hint="eastAsia" w:ascii="楷体" w:hAnsi="楷体" w:eastAsia="楷体"/>
          <w:b/>
          <w:szCs w:val="21"/>
        </w:rPr>
        <w:t>自行</w:t>
      </w:r>
      <w:r>
        <w:rPr>
          <w:rFonts w:ascii="楷体" w:hAnsi="楷体" w:eastAsia="楷体"/>
          <w:b/>
          <w:szCs w:val="21"/>
        </w:rPr>
        <w:t>承担：</w:t>
      </w:r>
    </w:p>
    <w:p>
      <w:pPr>
        <w:pStyle w:val="12"/>
        <w:numPr>
          <w:ilvl w:val="0"/>
          <w:numId w:val="29"/>
        </w:numPr>
        <w:adjustRightInd w:val="0"/>
        <w:snapToGrid w:val="0"/>
        <w:ind w:firstLineChars="0"/>
        <w:rPr>
          <w:rFonts w:ascii="楷体" w:hAnsi="楷体" w:eastAsia="楷体"/>
          <w:b/>
          <w:szCs w:val="21"/>
        </w:rPr>
      </w:pPr>
      <w:r>
        <w:rPr>
          <w:rFonts w:hint="eastAsia" w:ascii="楷体" w:hAnsi="楷体" w:eastAsia="楷体"/>
          <w:b/>
          <w:szCs w:val="21"/>
        </w:rPr>
        <w:t>甲方必须确认下列情况，并按照联网受理终端机具的信息提示进行操作：</w:t>
      </w:r>
    </w:p>
    <w:p>
      <w:pPr>
        <w:pStyle w:val="12"/>
        <w:numPr>
          <w:ilvl w:val="0"/>
          <w:numId w:val="30"/>
        </w:numPr>
        <w:ind w:firstLineChars="0"/>
        <w:rPr>
          <w:rFonts w:ascii="楷体" w:hAnsi="楷体" w:eastAsia="楷体"/>
          <w:b/>
          <w:szCs w:val="21"/>
        </w:rPr>
      </w:pPr>
      <w:r>
        <w:rPr>
          <w:rFonts w:hint="eastAsia" w:ascii="楷体" w:hAnsi="楷体" w:eastAsia="楷体"/>
          <w:b/>
          <w:szCs w:val="21"/>
        </w:rPr>
        <w:t>验卡：持卡人出示的银联卡应完好无损，签名条已预留签名无涂改和伪造嫌疑；信用卡应印有真正可识别的镭射防伪标识及其信用卡特征；信用卡必须在有效期内使用。</w:t>
      </w:r>
    </w:p>
    <w:p>
      <w:pPr>
        <w:pStyle w:val="12"/>
        <w:numPr>
          <w:ilvl w:val="0"/>
          <w:numId w:val="30"/>
        </w:numPr>
        <w:ind w:firstLineChars="0"/>
        <w:rPr>
          <w:rFonts w:ascii="楷体" w:hAnsi="楷体" w:eastAsia="楷体"/>
          <w:b/>
          <w:szCs w:val="21"/>
        </w:rPr>
      </w:pPr>
      <w:r>
        <w:rPr>
          <w:rFonts w:hint="eastAsia" w:ascii="楷体" w:hAnsi="楷体" w:eastAsia="楷体"/>
          <w:b/>
          <w:szCs w:val="21"/>
        </w:rPr>
        <w:t>核对卡号：联网受理终端机具显示及签购单打印的银联卡卡号应与银联卡面卡号一致。</w:t>
      </w:r>
    </w:p>
    <w:p>
      <w:pPr>
        <w:pStyle w:val="12"/>
        <w:numPr>
          <w:ilvl w:val="0"/>
          <w:numId w:val="30"/>
        </w:numPr>
        <w:ind w:firstLineChars="0"/>
        <w:rPr>
          <w:rFonts w:ascii="楷体" w:hAnsi="楷体" w:eastAsia="楷体"/>
          <w:b/>
          <w:szCs w:val="21"/>
        </w:rPr>
      </w:pPr>
      <w:r>
        <w:rPr>
          <w:rFonts w:hint="eastAsia" w:ascii="楷体" w:hAnsi="楷体" w:eastAsia="楷体"/>
          <w:b/>
          <w:szCs w:val="21"/>
        </w:rPr>
        <w:t>核对签名：持卡人在签购单上的签名应与信用卡签名条预留的签名及持卡人姓名拼音相符。银行卡背面未预留签名的银行卡可拒绝受理。</w:t>
      </w:r>
    </w:p>
    <w:p>
      <w:pPr>
        <w:pStyle w:val="12"/>
        <w:numPr>
          <w:ilvl w:val="0"/>
          <w:numId w:val="30"/>
        </w:numPr>
        <w:ind w:firstLineChars="0"/>
        <w:rPr>
          <w:rFonts w:ascii="楷体" w:hAnsi="楷体" w:eastAsia="楷体"/>
          <w:b/>
          <w:szCs w:val="21"/>
        </w:rPr>
      </w:pPr>
      <w:r>
        <w:rPr>
          <w:rFonts w:hint="eastAsia" w:ascii="楷体" w:hAnsi="楷体" w:eastAsia="楷体"/>
          <w:b/>
          <w:szCs w:val="21"/>
        </w:rPr>
        <w:t>其他受理条件（包括密码授权、身份校验等）按照发卡银行的有关银行卡章程执行。</w:t>
      </w:r>
    </w:p>
    <w:p>
      <w:pPr>
        <w:pStyle w:val="12"/>
        <w:numPr>
          <w:ilvl w:val="0"/>
          <w:numId w:val="29"/>
        </w:numPr>
        <w:adjustRightInd w:val="0"/>
        <w:snapToGrid w:val="0"/>
        <w:ind w:firstLineChars="0"/>
        <w:rPr>
          <w:rFonts w:ascii="楷体" w:hAnsi="楷体" w:eastAsia="楷体"/>
          <w:b/>
          <w:szCs w:val="21"/>
        </w:rPr>
      </w:pPr>
      <w:r>
        <w:rPr>
          <w:rFonts w:hint="eastAsia" w:ascii="楷体" w:hAnsi="楷体" w:eastAsia="楷体"/>
          <w:b/>
          <w:szCs w:val="21"/>
        </w:rPr>
        <w:t>交易</w:t>
      </w:r>
      <w:r>
        <w:rPr>
          <w:rFonts w:ascii="楷体" w:hAnsi="楷体" w:eastAsia="楷体"/>
          <w:b/>
          <w:szCs w:val="21"/>
        </w:rPr>
        <w:t>单据：</w:t>
      </w:r>
    </w:p>
    <w:p>
      <w:pPr>
        <w:pStyle w:val="12"/>
        <w:numPr>
          <w:ilvl w:val="0"/>
          <w:numId w:val="31"/>
        </w:numPr>
        <w:ind w:firstLineChars="0"/>
        <w:rPr>
          <w:rFonts w:ascii="楷体" w:hAnsi="楷体" w:eastAsia="楷体"/>
          <w:b/>
          <w:szCs w:val="21"/>
        </w:rPr>
      </w:pPr>
      <w:r>
        <w:rPr>
          <w:rFonts w:hint="eastAsia" w:ascii="楷体" w:hAnsi="楷体" w:eastAsia="楷体"/>
          <w:b/>
          <w:szCs w:val="21"/>
        </w:rPr>
        <w:t>满足下列全部条件的交易单据，本协议视为“有效交易单据”：</w:t>
      </w:r>
    </w:p>
    <w:p>
      <w:pPr>
        <w:ind w:firstLine="422" w:firstLineChars="200"/>
        <w:rPr>
          <w:rFonts w:ascii="楷体" w:hAnsi="楷体" w:eastAsia="楷体"/>
          <w:b/>
          <w:szCs w:val="21"/>
        </w:rPr>
      </w:pPr>
      <w:r>
        <w:rPr>
          <w:rFonts w:hint="eastAsia" w:ascii="楷体" w:hAnsi="楷体" w:eastAsia="楷体"/>
          <w:b/>
          <w:szCs w:val="21"/>
        </w:rPr>
        <w:t>甲方进行的银联卡交易，应是真实的商品或服务交易，其所采用的所有单据必须向乙方提供；</w:t>
      </w:r>
    </w:p>
    <w:p>
      <w:pPr>
        <w:ind w:firstLine="422" w:firstLineChars="200"/>
        <w:rPr>
          <w:rFonts w:ascii="楷体" w:hAnsi="楷体" w:eastAsia="楷体"/>
          <w:b/>
          <w:szCs w:val="21"/>
        </w:rPr>
      </w:pPr>
      <w:r>
        <w:rPr>
          <w:rFonts w:hint="eastAsia" w:ascii="楷体" w:hAnsi="楷体" w:eastAsia="楷体"/>
          <w:b/>
          <w:szCs w:val="21"/>
        </w:rPr>
        <w:t>交易单据经持卡人亲笔签名后甲方、乙方和持卡人各留存一份。甲方将存根联从交易日起，至少保留24个月；</w:t>
      </w:r>
    </w:p>
    <w:p>
      <w:pPr>
        <w:ind w:firstLine="422" w:firstLineChars="200"/>
        <w:rPr>
          <w:rFonts w:ascii="楷体" w:hAnsi="楷体" w:eastAsia="楷体"/>
          <w:b/>
          <w:szCs w:val="21"/>
        </w:rPr>
      </w:pPr>
      <w:r>
        <w:rPr>
          <w:rFonts w:hint="eastAsia" w:ascii="楷体" w:hAnsi="楷体" w:eastAsia="楷体"/>
          <w:b/>
          <w:szCs w:val="21"/>
        </w:rPr>
        <w:t>交易单据上的任何内容均为真实的银联卡交易要素，且内容清晰不得涂改。</w:t>
      </w:r>
    </w:p>
    <w:p>
      <w:pPr>
        <w:pStyle w:val="12"/>
        <w:numPr>
          <w:ilvl w:val="0"/>
          <w:numId w:val="31"/>
        </w:numPr>
        <w:ind w:firstLineChars="0"/>
        <w:rPr>
          <w:rFonts w:ascii="楷体" w:hAnsi="楷体" w:eastAsia="楷体"/>
          <w:b/>
          <w:szCs w:val="21"/>
        </w:rPr>
      </w:pPr>
      <w:r>
        <w:rPr>
          <w:rFonts w:hint="eastAsia" w:ascii="楷体" w:hAnsi="楷体" w:eastAsia="楷体"/>
          <w:b/>
          <w:szCs w:val="21"/>
        </w:rPr>
        <w:t>对甲方提交的非“有效交易单据”的任何交易单据，均视为无效交易单据，乙方有权中止清算或追讨清算资金。</w:t>
      </w:r>
    </w:p>
    <w:p>
      <w:pPr>
        <w:pStyle w:val="12"/>
        <w:numPr>
          <w:ilvl w:val="0"/>
          <w:numId w:val="29"/>
        </w:numPr>
        <w:adjustRightInd w:val="0"/>
        <w:snapToGrid w:val="0"/>
        <w:ind w:firstLineChars="0"/>
        <w:rPr>
          <w:rFonts w:ascii="楷体" w:hAnsi="楷体" w:eastAsia="楷体"/>
          <w:b/>
          <w:szCs w:val="21"/>
        </w:rPr>
      </w:pPr>
      <w:r>
        <w:rPr>
          <w:rFonts w:hint="eastAsia" w:ascii="楷体" w:hAnsi="楷体" w:eastAsia="楷体"/>
          <w:b/>
          <w:szCs w:val="21"/>
        </w:rPr>
        <w:t>银联卡没收</w:t>
      </w:r>
      <w:r>
        <w:rPr>
          <w:rFonts w:ascii="楷体" w:hAnsi="楷体" w:eastAsia="楷体"/>
          <w:b/>
          <w:szCs w:val="21"/>
        </w:rPr>
        <w:t>处理</w:t>
      </w:r>
      <w:r>
        <w:rPr>
          <w:rFonts w:hint="eastAsia" w:ascii="楷体" w:hAnsi="楷体" w:eastAsia="楷体"/>
          <w:b/>
          <w:szCs w:val="21"/>
        </w:rPr>
        <w:t>：</w:t>
      </w:r>
    </w:p>
    <w:p>
      <w:pPr>
        <w:pStyle w:val="12"/>
        <w:numPr>
          <w:ilvl w:val="0"/>
          <w:numId w:val="32"/>
        </w:numPr>
        <w:ind w:firstLineChars="0"/>
        <w:rPr>
          <w:rFonts w:ascii="楷体" w:hAnsi="楷体" w:eastAsia="楷体"/>
          <w:b/>
          <w:szCs w:val="21"/>
        </w:rPr>
      </w:pPr>
      <w:r>
        <w:rPr>
          <w:rFonts w:hint="eastAsia" w:ascii="楷体" w:hAnsi="楷体" w:eastAsia="楷体"/>
          <w:b/>
          <w:szCs w:val="21"/>
        </w:rPr>
        <w:t>甲方受理银联卡出现下列情况时，有责任没收银联卡：</w:t>
      </w:r>
    </w:p>
    <w:p>
      <w:pPr>
        <w:ind w:firstLine="422" w:firstLineChars="200"/>
        <w:rPr>
          <w:rFonts w:ascii="楷体" w:hAnsi="楷体" w:eastAsia="楷体"/>
          <w:b/>
          <w:szCs w:val="21"/>
        </w:rPr>
      </w:pPr>
      <w:r>
        <w:rPr>
          <w:rFonts w:hint="eastAsia" w:ascii="楷体" w:hAnsi="楷体" w:eastAsia="楷体"/>
          <w:b/>
          <w:szCs w:val="21"/>
        </w:rPr>
        <w:t>i联网受理终端显示为应没收的银联卡；</w:t>
      </w:r>
    </w:p>
    <w:p>
      <w:pPr>
        <w:ind w:firstLine="422" w:firstLineChars="200"/>
        <w:rPr>
          <w:rFonts w:ascii="楷体" w:hAnsi="楷体" w:eastAsia="楷体"/>
          <w:b/>
          <w:szCs w:val="21"/>
        </w:rPr>
      </w:pPr>
      <w:r>
        <w:rPr>
          <w:rFonts w:hint="eastAsia" w:ascii="楷体" w:hAnsi="楷体" w:eastAsia="楷体"/>
          <w:b/>
          <w:szCs w:val="21"/>
        </w:rPr>
        <w:t>ii止付名单或乙方及入网成员机构向甲方指示（如申请授权时）必须收回的银联卡。</w:t>
      </w:r>
    </w:p>
    <w:p>
      <w:pPr>
        <w:pStyle w:val="12"/>
        <w:numPr>
          <w:ilvl w:val="0"/>
          <w:numId w:val="32"/>
        </w:numPr>
        <w:ind w:firstLineChars="0"/>
        <w:rPr>
          <w:rFonts w:ascii="楷体" w:hAnsi="楷体" w:eastAsia="楷体"/>
          <w:b/>
          <w:szCs w:val="21"/>
        </w:rPr>
      </w:pPr>
      <w:r>
        <w:rPr>
          <w:rFonts w:hint="eastAsia" w:ascii="楷体" w:hAnsi="楷体" w:eastAsia="楷体"/>
          <w:b/>
          <w:szCs w:val="21"/>
        </w:rPr>
        <w:t>银联卡已经没收，甲方必须当持卡人面立即将其明显地剪去一角，破坏磁条，并在没收次日起3个工作日内通知乙方处理。</w:t>
      </w:r>
    </w:p>
    <w:p>
      <w:pPr>
        <w:pStyle w:val="12"/>
        <w:numPr>
          <w:ilvl w:val="0"/>
          <w:numId w:val="27"/>
        </w:numPr>
        <w:ind w:firstLineChars="0"/>
        <w:rPr>
          <w:rFonts w:ascii="楷体" w:hAnsi="楷体" w:eastAsia="楷体"/>
          <w:b/>
          <w:szCs w:val="21"/>
        </w:rPr>
      </w:pPr>
      <w:r>
        <w:rPr>
          <w:rFonts w:hint="eastAsia" w:ascii="楷体" w:hAnsi="楷体" w:eastAsia="楷体"/>
          <w:b/>
          <w:szCs w:val="21"/>
        </w:rPr>
        <w:t>条码</w:t>
      </w:r>
      <w:r>
        <w:rPr>
          <w:rFonts w:ascii="楷体" w:hAnsi="楷体" w:eastAsia="楷体"/>
          <w:b/>
          <w:szCs w:val="21"/>
        </w:rPr>
        <w:t>支付</w:t>
      </w:r>
    </w:p>
    <w:p>
      <w:pPr>
        <w:pStyle w:val="12"/>
        <w:numPr>
          <w:ilvl w:val="0"/>
          <w:numId w:val="33"/>
        </w:numPr>
        <w:ind w:firstLineChars="0"/>
        <w:rPr>
          <w:rFonts w:ascii="楷体" w:hAnsi="楷体" w:eastAsia="楷体"/>
          <w:szCs w:val="21"/>
        </w:rPr>
      </w:pPr>
      <w:r>
        <w:rPr>
          <w:rFonts w:hint="eastAsia" w:ascii="楷体" w:hAnsi="楷体" w:eastAsia="楷体"/>
          <w:szCs w:val="21"/>
        </w:rPr>
        <w:t>条码</w:t>
      </w:r>
      <w:r>
        <w:rPr>
          <w:rFonts w:ascii="楷体" w:hAnsi="楷体" w:eastAsia="楷体"/>
          <w:szCs w:val="21"/>
        </w:rPr>
        <w:t>支付产品内嵌于</w:t>
      </w:r>
      <w:r>
        <w:rPr>
          <w:rFonts w:hint="eastAsia" w:ascii="楷体" w:hAnsi="楷体" w:eastAsia="楷体"/>
          <w:szCs w:val="21"/>
        </w:rPr>
        <w:t>甲方</w:t>
      </w:r>
      <w:r>
        <w:rPr>
          <w:rFonts w:ascii="楷体" w:hAnsi="楷体" w:eastAsia="楷体"/>
          <w:szCs w:val="21"/>
        </w:rPr>
        <w:t>银行卡收单产品中</w:t>
      </w:r>
      <w:r>
        <w:rPr>
          <w:rFonts w:hint="eastAsia" w:ascii="楷体" w:hAnsi="楷体" w:eastAsia="楷体"/>
          <w:szCs w:val="21"/>
        </w:rPr>
        <w:t>，</w:t>
      </w:r>
      <w:r>
        <w:rPr>
          <w:rFonts w:ascii="楷体" w:hAnsi="楷体" w:eastAsia="楷体"/>
          <w:szCs w:val="21"/>
        </w:rPr>
        <w:t>包括</w:t>
      </w:r>
      <w:r>
        <w:rPr>
          <w:rFonts w:hint="eastAsia" w:ascii="楷体" w:hAnsi="楷体" w:eastAsia="楷体"/>
          <w:szCs w:val="21"/>
        </w:rPr>
        <w:t>付款</w:t>
      </w:r>
      <w:r>
        <w:rPr>
          <w:rFonts w:ascii="楷体" w:hAnsi="楷体" w:eastAsia="楷体"/>
          <w:szCs w:val="21"/>
        </w:rPr>
        <w:t>扫码：付款人通过</w:t>
      </w:r>
      <w:r>
        <w:rPr>
          <w:rFonts w:hint="eastAsia" w:ascii="楷体" w:hAnsi="楷体" w:eastAsia="楷体"/>
          <w:szCs w:val="21"/>
        </w:rPr>
        <w:t>移动</w:t>
      </w:r>
      <w:r>
        <w:rPr>
          <w:rFonts w:ascii="楷体" w:hAnsi="楷体" w:eastAsia="楷体"/>
          <w:szCs w:val="21"/>
        </w:rPr>
        <w:t>终端识读收款人展示的条码完成支付的行为</w:t>
      </w:r>
      <w:r>
        <w:rPr>
          <w:rFonts w:hint="eastAsia" w:ascii="楷体" w:hAnsi="楷体" w:eastAsia="楷体"/>
          <w:szCs w:val="21"/>
        </w:rPr>
        <w:t>；</w:t>
      </w:r>
      <w:r>
        <w:rPr>
          <w:rFonts w:ascii="楷体" w:hAnsi="楷体" w:eastAsia="楷体"/>
          <w:szCs w:val="21"/>
        </w:rPr>
        <w:t>收款扫码</w:t>
      </w:r>
      <w:r>
        <w:rPr>
          <w:rFonts w:hint="eastAsia" w:ascii="楷体" w:hAnsi="楷体" w:eastAsia="楷体"/>
          <w:szCs w:val="21"/>
        </w:rPr>
        <w:t>：收款人</w:t>
      </w:r>
      <w:r>
        <w:rPr>
          <w:rFonts w:ascii="楷体" w:hAnsi="楷体" w:eastAsia="楷体"/>
          <w:szCs w:val="21"/>
        </w:rPr>
        <w:t>通过识读付款人移动终端展示的条码完成支付的行为。</w:t>
      </w:r>
      <w:r>
        <w:rPr>
          <w:rFonts w:hint="eastAsia" w:ascii="楷体" w:hAnsi="楷体" w:eastAsia="楷体"/>
          <w:szCs w:val="21"/>
        </w:rPr>
        <w:t>乙方依据</w:t>
      </w:r>
      <w:r>
        <w:rPr>
          <w:rFonts w:ascii="楷体" w:hAnsi="楷体" w:eastAsia="楷体"/>
          <w:szCs w:val="21"/>
        </w:rPr>
        <w:t>甲方</w:t>
      </w:r>
      <w:r>
        <w:rPr>
          <w:rFonts w:hint="eastAsia" w:ascii="楷体" w:hAnsi="楷体" w:eastAsia="楷体"/>
          <w:szCs w:val="21"/>
        </w:rPr>
        <w:t>应用</w:t>
      </w:r>
      <w:r>
        <w:rPr>
          <w:rFonts w:ascii="楷体" w:hAnsi="楷体" w:eastAsia="楷体"/>
          <w:szCs w:val="21"/>
        </w:rPr>
        <w:t>场景的需求予以开通相应</w:t>
      </w:r>
      <w:r>
        <w:rPr>
          <w:rFonts w:hint="eastAsia" w:ascii="楷体" w:hAnsi="楷体" w:eastAsia="楷体"/>
          <w:szCs w:val="21"/>
        </w:rPr>
        <w:t>功能</w:t>
      </w:r>
      <w:r>
        <w:rPr>
          <w:rFonts w:ascii="楷体" w:hAnsi="楷体" w:eastAsia="楷体"/>
          <w:szCs w:val="21"/>
        </w:rPr>
        <w:t>。</w:t>
      </w:r>
    </w:p>
    <w:p>
      <w:pPr>
        <w:pStyle w:val="12"/>
        <w:numPr>
          <w:ilvl w:val="0"/>
          <w:numId w:val="33"/>
        </w:numPr>
        <w:ind w:firstLineChars="0"/>
        <w:rPr>
          <w:rFonts w:ascii="楷体" w:hAnsi="楷体" w:eastAsia="楷体"/>
          <w:szCs w:val="21"/>
        </w:rPr>
      </w:pPr>
      <w:r>
        <w:rPr>
          <w:rFonts w:hint="eastAsia" w:ascii="楷体" w:hAnsi="楷体" w:eastAsia="楷体"/>
          <w:szCs w:val="21"/>
        </w:rPr>
        <w:t>乙方有权依据自身</w:t>
      </w:r>
      <w:r>
        <w:rPr>
          <w:rFonts w:ascii="楷体" w:hAnsi="楷体" w:eastAsia="楷体"/>
          <w:szCs w:val="21"/>
        </w:rPr>
        <w:t>或清算机构或合作机构</w:t>
      </w:r>
      <w:r>
        <w:rPr>
          <w:rFonts w:hint="eastAsia" w:ascii="楷体" w:hAnsi="楷体" w:eastAsia="楷体"/>
          <w:szCs w:val="21"/>
        </w:rPr>
        <w:t>或</w:t>
      </w:r>
      <w:r>
        <w:rPr>
          <w:rFonts w:ascii="楷体" w:hAnsi="楷体" w:eastAsia="楷体"/>
          <w:szCs w:val="21"/>
        </w:rPr>
        <w:t>监管机构的</w:t>
      </w:r>
      <w:r>
        <w:rPr>
          <w:rFonts w:hint="eastAsia" w:ascii="楷体" w:hAnsi="楷体" w:eastAsia="楷体"/>
          <w:szCs w:val="21"/>
        </w:rPr>
        <w:t>风险控制要求，对条码支付的费率及单笔、单日限额等进行调整。</w:t>
      </w:r>
    </w:p>
    <w:p>
      <w:pPr>
        <w:pStyle w:val="12"/>
        <w:numPr>
          <w:ilvl w:val="0"/>
          <w:numId w:val="33"/>
        </w:numPr>
        <w:ind w:firstLineChars="0"/>
        <w:rPr>
          <w:rFonts w:ascii="楷体" w:hAnsi="楷体" w:eastAsia="楷体"/>
          <w:szCs w:val="21"/>
        </w:rPr>
      </w:pPr>
      <w:r>
        <w:rPr>
          <w:rFonts w:hint="eastAsia" w:ascii="楷体" w:hAnsi="楷体" w:eastAsia="楷体"/>
          <w:szCs w:val="21"/>
        </w:rPr>
        <w:t>对于发卡行或清算</w:t>
      </w:r>
      <w:r>
        <w:rPr>
          <w:rFonts w:ascii="楷体" w:hAnsi="楷体" w:eastAsia="楷体"/>
          <w:szCs w:val="21"/>
        </w:rPr>
        <w:t>机构</w:t>
      </w:r>
      <w:r>
        <w:rPr>
          <w:rFonts w:hint="eastAsia" w:ascii="楷体" w:hAnsi="楷体" w:eastAsia="楷体"/>
          <w:szCs w:val="21"/>
        </w:rPr>
        <w:t>的合理拒付（包括但不限于客户否认交易等）的交易风险和由此产生的损失由造成相关损失的责任方承担。</w:t>
      </w:r>
    </w:p>
    <w:p>
      <w:pPr>
        <w:pStyle w:val="12"/>
        <w:numPr>
          <w:ilvl w:val="0"/>
          <w:numId w:val="27"/>
        </w:numPr>
        <w:ind w:firstLineChars="0"/>
        <w:rPr>
          <w:rFonts w:ascii="楷体" w:hAnsi="楷体" w:eastAsia="楷体"/>
          <w:b/>
          <w:szCs w:val="21"/>
        </w:rPr>
      </w:pPr>
      <w:r>
        <w:rPr>
          <w:rFonts w:hint="eastAsia" w:ascii="楷体" w:hAnsi="楷体" w:eastAsia="楷体"/>
          <w:b/>
          <w:szCs w:val="21"/>
        </w:rPr>
        <w:t>花呗分期</w:t>
      </w:r>
    </w:p>
    <w:p>
      <w:pPr>
        <w:pStyle w:val="12"/>
        <w:numPr>
          <w:ilvl w:val="0"/>
          <w:numId w:val="34"/>
        </w:numPr>
        <w:ind w:firstLineChars="0"/>
        <w:rPr>
          <w:rFonts w:ascii="楷体" w:hAnsi="楷体" w:eastAsia="楷体"/>
          <w:szCs w:val="21"/>
        </w:rPr>
      </w:pPr>
      <w:r>
        <w:rPr>
          <w:rFonts w:ascii="楷体" w:hAnsi="楷体" w:eastAsia="楷体"/>
          <w:szCs w:val="21"/>
        </w:rPr>
        <w:t>花呗分期</w:t>
      </w:r>
      <w:r>
        <w:rPr>
          <w:rFonts w:hint="eastAsia" w:ascii="楷体" w:hAnsi="楷体" w:eastAsia="楷体"/>
          <w:szCs w:val="21"/>
        </w:rPr>
        <w:t>：</w:t>
      </w:r>
      <w:r>
        <w:rPr>
          <w:rFonts w:ascii="楷体" w:hAnsi="楷体" w:eastAsia="楷体"/>
          <w:szCs w:val="21"/>
        </w:rPr>
        <w:t>指“花呗”网络消费金融产品项下的分期品牌。如无特别约定，本合同所指的“花呗分期”是指由重庆市蚂蚁小微小额贷款有限公司</w:t>
      </w:r>
      <w:r>
        <w:rPr>
          <w:rFonts w:hint="eastAsia" w:ascii="楷体" w:hAnsi="楷体" w:eastAsia="楷体"/>
          <w:szCs w:val="21"/>
        </w:rPr>
        <w:t>（下称“蚂蚁小贷”）或蚂蚁小贷引入的合作金融机构</w:t>
      </w:r>
      <w:r>
        <w:rPr>
          <w:rFonts w:ascii="楷体" w:hAnsi="楷体" w:eastAsia="楷体"/>
          <w:szCs w:val="21"/>
        </w:rPr>
        <w:t>向付款人</w:t>
      </w:r>
      <w:r>
        <w:rPr>
          <w:rFonts w:hint="eastAsia" w:ascii="楷体" w:hAnsi="楷体" w:eastAsia="楷体"/>
          <w:szCs w:val="21"/>
        </w:rPr>
        <w:t>（</w:t>
      </w:r>
      <w:r>
        <w:rPr>
          <w:rFonts w:ascii="楷体" w:hAnsi="楷体" w:eastAsia="楷体"/>
          <w:szCs w:val="21"/>
        </w:rPr>
        <w:t>持卡人</w:t>
      </w:r>
      <w:r>
        <w:rPr>
          <w:rFonts w:hint="eastAsia" w:ascii="楷体" w:hAnsi="楷体" w:eastAsia="楷体"/>
          <w:szCs w:val="21"/>
        </w:rPr>
        <w:t>）</w:t>
      </w:r>
      <w:r>
        <w:rPr>
          <w:rFonts w:ascii="楷体" w:hAnsi="楷体" w:eastAsia="楷体"/>
          <w:szCs w:val="21"/>
        </w:rPr>
        <w:t>提供的在交易时使用授信资金付款，并确定分期还款期数和还款金额的服务；在不同的商业平台、交易场景中亦有可能被称为“天猫分期”、“天猫·花呗分期”、“分期购”、“淘宝分期”及蚂蚁小贷其他不时调整的营销名称。</w:t>
      </w:r>
    </w:p>
    <w:p>
      <w:pPr>
        <w:pStyle w:val="12"/>
        <w:numPr>
          <w:ilvl w:val="0"/>
          <w:numId w:val="34"/>
        </w:numPr>
        <w:ind w:firstLineChars="0"/>
        <w:rPr>
          <w:rFonts w:ascii="楷体" w:hAnsi="楷体" w:eastAsia="楷体"/>
          <w:szCs w:val="21"/>
        </w:rPr>
      </w:pPr>
      <w:r>
        <w:rPr>
          <w:rFonts w:ascii="楷体" w:hAnsi="楷体" w:eastAsia="楷体"/>
          <w:szCs w:val="21"/>
        </w:rPr>
        <w:t>代偿模式</w:t>
      </w:r>
      <w:r>
        <w:rPr>
          <w:rFonts w:hint="eastAsia" w:ascii="楷体" w:hAnsi="楷体" w:eastAsia="楷体"/>
          <w:szCs w:val="21"/>
        </w:rPr>
        <w:t>：指商户承担花呗分期还款服务费、乙方关联公司先行在一定周期内代为偿付花呗分期还款服务费的模式。</w:t>
      </w:r>
    </w:p>
    <w:p>
      <w:pPr>
        <w:pStyle w:val="12"/>
        <w:numPr>
          <w:ilvl w:val="0"/>
          <w:numId w:val="34"/>
        </w:numPr>
        <w:ind w:firstLineChars="0"/>
        <w:rPr>
          <w:rFonts w:ascii="楷体" w:hAnsi="楷体" w:eastAsia="楷体"/>
          <w:szCs w:val="21"/>
        </w:rPr>
      </w:pPr>
      <w:r>
        <w:rPr>
          <w:rFonts w:ascii="楷体" w:hAnsi="楷体" w:eastAsia="楷体"/>
          <w:szCs w:val="21"/>
        </w:rPr>
        <w:t>甲方使用花呗分期功能时</w:t>
      </w:r>
      <w:r>
        <w:rPr>
          <w:rFonts w:hint="eastAsia" w:ascii="楷体" w:hAnsi="楷体" w:eastAsia="楷体"/>
          <w:szCs w:val="21"/>
        </w:rPr>
        <w:t>应当遵守分期功能提供方蚂蚁金服业务规则。因甲方与蚂蚁金服之间产生的任何纠纷与乙方无关，由甲方与蚂蚁金服自行解决。</w:t>
      </w:r>
    </w:p>
    <w:p>
      <w:pPr>
        <w:pStyle w:val="12"/>
        <w:numPr>
          <w:ilvl w:val="0"/>
          <w:numId w:val="26"/>
        </w:numPr>
        <w:ind w:firstLineChars="0"/>
        <w:rPr>
          <w:rFonts w:ascii="楷体" w:hAnsi="楷体" w:eastAsia="楷体"/>
          <w:b/>
          <w:szCs w:val="21"/>
        </w:rPr>
      </w:pPr>
      <w:r>
        <w:rPr>
          <w:rFonts w:hint="eastAsia" w:ascii="楷体" w:hAnsi="楷体" w:eastAsia="楷体"/>
          <w:b/>
          <w:szCs w:val="21"/>
        </w:rPr>
        <w:t>网络</w:t>
      </w:r>
      <w:r>
        <w:rPr>
          <w:rFonts w:ascii="楷体" w:hAnsi="楷体" w:eastAsia="楷体"/>
          <w:b/>
          <w:szCs w:val="21"/>
        </w:rPr>
        <w:t>支付</w:t>
      </w:r>
      <w:r>
        <w:rPr>
          <w:rFonts w:hint="eastAsia" w:ascii="楷体" w:hAnsi="楷体" w:eastAsia="楷体"/>
          <w:b/>
          <w:szCs w:val="21"/>
        </w:rPr>
        <w:t>产品</w:t>
      </w:r>
    </w:p>
    <w:p>
      <w:pPr>
        <w:pStyle w:val="12"/>
        <w:numPr>
          <w:ilvl w:val="0"/>
          <w:numId w:val="35"/>
        </w:numPr>
        <w:ind w:firstLineChars="0"/>
        <w:rPr>
          <w:rFonts w:ascii="楷体" w:hAnsi="楷体" w:eastAsia="楷体"/>
          <w:szCs w:val="21"/>
        </w:rPr>
      </w:pPr>
      <w:r>
        <w:rPr>
          <w:rFonts w:hint="eastAsia" w:ascii="楷体" w:hAnsi="楷体" w:eastAsia="楷体"/>
          <w:b/>
          <w:szCs w:val="21"/>
        </w:rPr>
        <w:t>银行卡支付：</w:t>
      </w:r>
      <w:r>
        <w:rPr>
          <w:rFonts w:hint="eastAsia" w:ascii="楷体" w:hAnsi="楷体" w:eastAsia="楷体"/>
          <w:szCs w:val="21"/>
        </w:rPr>
        <w:t>甲方及甲方用户可使用银行卡账户中的余额进行支付，乙方将从其银行卡账户中扣除相应金额，通过各项功能接口完成支付指令。</w:t>
      </w:r>
    </w:p>
    <w:p>
      <w:pPr>
        <w:pStyle w:val="12"/>
        <w:numPr>
          <w:ilvl w:val="0"/>
          <w:numId w:val="35"/>
        </w:numPr>
        <w:ind w:firstLineChars="0"/>
        <w:rPr>
          <w:rFonts w:ascii="楷体" w:hAnsi="楷体" w:eastAsia="楷体"/>
          <w:szCs w:val="21"/>
        </w:rPr>
      </w:pPr>
      <w:r>
        <w:rPr>
          <w:rFonts w:hint="eastAsia" w:ascii="楷体" w:hAnsi="楷体" w:eastAsia="楷体"/>
          <w:b/>
          <w:szCs w:val="21"/>
        </w:rPr>
        <w:t>协议支付：</w:t>
      </w:r>
      <w:r>
        <w:rPr>
          <w:rFonts w:hint="eastAsia" w:ascii="楷体" w:hAnsi="楷体" w:eastAsia="楷体"/>
          <w:szCs w:val="21"/>
        </w:rPr>
        <w:t>甲方自然人用户通过乙方提供系统接口发起协议支付指令，乙方经授权从用户指定的本人银行借记卡中扣除用户指定金额。用户首次发起协议支付时，乙方或其合作机构将通过身份证号、姓名、银行卡号、手机号等多种方式进行支付验证。银行卡绑定验证通过后，用户发起支付指令时按照乙方要求的验证方式确认后即可完成支付。因甲方或甲方用户违反法律法规、监管规定、网联规则或甲乙双方约定使用协议支付功能导致的合法持卡人或乙方损失，由甲方负责赔偿。甲方及甲方用户对其所绑定的银行账户、预留手机号等信息承担妥善保护义务，非因乙方原因导致的信息泄露而产生的损失，由甲方及其用户自行承担</w:t>
      </w:r>
    </w:p>
    <w:p>
      <w:pPr>
        <w:pStyle w:val="12"/>
        <w:numPr>
          <w:ilvl w:val="0"/>
          <w:numId w:val="35"/>
        </w:numPr>
        <w:ind w:firstLineChars="0"/>
        <w:rPr>
          <w:rFonts w:ascii="楷体" w:hAnsi="楷体" w:eastAsia="楷体"/>
          <w:szCs w:val="21"/>
        </w:rPr>
      </w:pPr>
      <w:r>
        <w:rPr>
          <w:rFonts w:hint="eastAsia" w:ascii="楷体" w:hAnsi="楷体" w:eastAsia="楷体"/>
          <w:b/>
          <w:szCs w:val="21"/>
        </w:rPr>
        <w:t>条码支付</w:t>
      </w:r>
      <w:r>
        <w:rPr>
          <w:rFonts w:ascii="楷体" w:hAnsi="楷体" w:eastAsia="楷体"/>
          <w:b/>
          <w:szCs w:val="21"/>
        </w:rPr>
        <w:t>：</w:t>
      </w:r>
      <w:r>
        <w:rPr>
          <w:rFonts w:hint="eastAsia" w:ascii="楷体" w:hAnsi="楷体" w:eastAsia="楷体"/>
          <w:szCs w:val="21"/>
        </w:rPr>
        <w:t>指</w:t>
      </w:r>
      <w:r>
        <w:rPr>
          <w:rFonts w:ascii="楷体" w:hAnsi="楷体" w:eastAsia="楷体"/>
          <w:szCs w:val="21"/>
        </w:rPr>
        <w:t>乙方应用条码技术，</w:t>
      </w:r>
      <w:r>
        <w:rPr>
          <w:rFonts w:hint="eastAsia" w:ascii="楷体" w:hAnsi="楷体" w:eastAsia="楷体"/>
          <w:szCs w:val="21"/>
        </w:rPr>
        <w:t>受甲方委托</w:t>
      </w:r>
      <w:r>
        <w:rPr>
          <w:rFonts w:ascii="楷体" w:hAnsi="楷体" w:eastAsia="楷体"/>
          <w:szCs w:val="21"/>
        </w:rPr>
        <w:t>实现</w:t>
      </w:r>
      <w:r>
        <w:rPr>
          <w:rFonts w:hint="eastAsia" w:ascii="楷体" w:hAnsi="楷体" w:eastAsia="楷体"/>
          <w:szCs w:val="21"/>
        </w:rPr>
        <w:t>甲方作为特约商户经营进行的</w:t>
      </w:r>
      <w:r>
        <w:rPr>
          <w:rFonts w:ascii="楷体" w:hAnsi="楷体" w:eastAsia="楷体"/>
          <w:szCs w:val="21"/>
        </w:rPr>
        <w:t>货币资金转移的业务活动。包括</w:t>
      </w:r>
      <w:r>
        <w:rPr>
          <w:rFonts w:hint="eastAsia" w:ascii="楷体" w:hAnsi="楷体" w:eastAsia="楷体"/>
          <w:szCs w:val="21"/>
        </w:rPr>
        <w:t>付款</w:t>
      </w:r>
      <w:r>
        <w:rPr>
          <w:rFonts w:ascii="楷体" w:hAnsi="楷体" w:eastAsia="楷体"/>
          <w:szCs w:val="21"/>
        </w:rPr>
        <w:t>扫码：付款人通过</w:t>
      </w:r>
      <w:r>
        <w:rPr>
          <w:rFonts w:hint="eastAsia" w:ascii="楷体" w:hAnsi="楷体" w:eastAsia="楷体"/>
          <w:szCs w:val="21"/>
        </w:rPr>
        <w:t>移动</w:t>
      </w:r>
      <w:r>
        <w:rPr>
          <w:rFonts w:ascii="楷体" w:hAnsi="楷体" w:eastAsia="楷体"/>
          <w:szCs w:val="21"/>
        </w:rPr>
        <w:t>终端识读收款人展示的条码完成支付的行为</w:t>
      </w:r>
      <w:r>
        <w:rPr>
          <w:rFonts w:hint="eastAsia" w:ascii="楷体" w:hAnsi="楷体" w:eastAsia="楷体"/>
          <w:szCs w:val="21"/>
        </w:rPr>
        <w:t>；</w:t>
      </w:r>
      <w:r>
        <w:rPr>
          <w:rFonts w:ascii="楷体" w:hAnsi="楷体" w:eastAsia="楷体"/>
          <w:szCs w:val="21"/>
        </w:rPr>
        <w:t>收款扫码</w:t>
      </w:r>
      <w:r>
        <w:rPr>
          <w:rFonts w:hint="eastAsia" w:ascii="楷体" w:hAnsi="楷体" w:eastAsia="楷体"/>
          <w:szCs w:val="21"/>
        </w:rPr>
        <w:t>：收款人</w:t>
      </w:r>
      <w:r>
        <w:rPr>
          <w:rFonts w:ascii="楷体" w:hAnsi="楷体" w:eastAsia="楷体"/>
          <w:szCs w:val="21"/>
        </w:rPr>
        <w:t>通过识读付款人移动终端展示的条码完成支付的行为。</w:t>
      </w:r>
      <w:r>
        <w:rPr>
          <w:rFonts w:hint="eastAsia" w:ascii="楷体" w:hAnsi="楷体" w:eastAsia="楷体"/>
          <w:szCs w:val="21"/>
        </w:rPr>
        <w:t>乙方有权依据自身</w:t>
      </w:r>
      <w:r>
        <w:rPr>
          <w:rFonts w:ascii="楷体" w:hAnsi="楷体" w:eastAsia="楷体"/>
          <w:szCs w:val="21"/>
        </w:rPr>
        <w:t>或清算机构或合作机构</w:t>
      </w:r>
      <w:r>
        <w:rPr>
          <w:rFonts w:hint="eastAsia" w:ascii="楷体" w:hAnsi="楷体" w:eastAsia="楷体"/>
          <w:szCs w:val="21"/>
        </w:rPr>
        <w:t>或</w:t>
      </w:r>
      <w:r>
        <w:rPr>
          <w:rFonts w:ascii="楷体" w:hAnsi="楷体" w:eastAsia="楷体"/>
          <w:szCs w:val="21"/>
        </w:rPr>
        <w:t>监管机构的</w:t>
      </w:r>
      <w:r>
        <w:rPr>
          <w:rFonts w:hint="eastAsia" w:ascii="楷体" w:hAnsi="楷体" w:eastAsia="楷体"/>
          <w:szCs w:val="21"/>
        </w:rPr>
        <w:t>风险控制要求，对条码支付的费率及单笔、单日限额等进行调整。</w:t>
      </w:r>
      <w:r>
        <w:rPr>
          <w:rFonts w:hint="eastAsia" w:ascii="楷体" w:hAnsi="楷体" w:eastAsia="楷体"/>
          <w:b/>
          <w:szCs w:val="21"/>
        </w:rPr>
        <w:t>小程序支付：</w:t>
      </w:r>
      <w:r>
        <w:rPr>
          <w:rFonts w:hint="eastAsia" w:ascii="楷体" w:hAnsi="楷体" w:eastAsia="楷体"/>
          <w:szCs w:val="21"/>
        </w:rPr>
        <w:t>甲方用户在移动手机端甲方微信小程序中，通过乙方提供的接口唤起甲方用户微信钱包进行支付。</w:t>
      </w:r>
      <w:r>
        <w:rPr>
          <w:rFonts w:hint="eastAsia" w:ascii="楷体" w:hAnsi="楷体" w:eastAsia="楷体"/>
          <w:b/>
          <w:szCs w:val="21"/>
        </w:rPr>
        <w:t>A</w:t>
      </w:r>
      <w:r>
        <w:rPr>
          <w:rFonts w:ascii="楷体" w:hAnsi="楷体" w:eastAsia="楷体"/>
          <w:b/>
          <w:szCs w:val="21"/>
        </w:rPr>
        <w:t>PP</w:t>
      </w:r>
      <w:r>
        <w:rPr>
          <w:rFonts w:hint="eastAsia" w:ascii="楷体" w:hAnsi="楷体" w:eastAsia="楷体"/>
          <w:b/>
          <w:szCs w:val="21"/>
        </w:rPr>
        <w:t>唤醒支付：</w:t>
      </w:r>
      <w:r>
        <w:rPr>
          <w:rFonts w:hint="eastAsia" w:ascii="楷体" w:hAnsi="楷体" w:eastAsia="楷体"/>
          <w:szCs w:val="21"/>
        </w:rPr>
        <w:t>甲方用户在移动手机端使用甲方APP过程中，通过乙方提供的接口唤起手机上乙方合作机构APP（或网页版）支付界面进行支付。</w:t>
      </w:r>
      <w:r>
        <w:rPr>
          <w:rFonts w:hint="eastAsia" w:ascii="楷体" w:hAnsi="楷体" w:eastAsia="楷体"/>
          <w:b/>
          <w:szCs w:val="21"/>
        </w:rPr>
        <w:t>公众号支付/服务窗支付：</w:t>
      </w:r>
      <w:r>
        <w:rPr>
          <w:rFonts w:hint="eastAsia" w:ascii="楷体" w:hAnsi="楷体" w:eastAsia="楷体"/>
          <w:szCs w:val="21"/>
        </w:rPr>
        <w:t>甲方用户通过甲方公众号的支付页面或支付宝服务窗发起支付指令，由乙方提供接口连接乙方合作机构后台完成支付。</w:t>
      </w:r>
    </w:p>
    <w:p>
      <w:pPr>
        <w:pStyle w:val="12"/>
        <w:numPr>
          <w:ilvl w:val="0"/>
          <w:numId w:val="35"/>
        </w:numPr>
        <w:ind w:firstLineChars="0"/>
        <w:rPr>
          <w:rFonts w:ascii="楷体" w:hAnsi="楷体" w:eastAsia="楷体"/>
          <w:b/>
          <w:szCs w:val="21"/>
        </w:rPr>
      </w:pPr>
      <w:r>
        <w:rPr>
          <w:rFonts w:hint="eastAsia" w:ascii="楷体" w:hAnsi="楷体" w:eastAsia="楷体"/>
          <w:b/>
          <w:szCs w:val="21"/>
        </w:rPr>
        <w:t>取现：</w:t>
      </w:r>
      <w:r>
        <w:rPr>
          <w:rFonts w:hint="eastAsia" w:ascii="楷体" w:hAnsi="楷体" w:eastAsia="楷体"/>
          <w:szCs w:val="21"/>
        </w:rPr>
        <w:t>甲方可将专属账户记录的余额结算资金转出至经乙方身份核验绑定的同名银行卡账户（本协议项下仅限借记卡），该银行卡账户应为甲方合法持有。</w:t>
      </w:r>
    </w:p>
    <w:p>
      <w:pPr>
        <w:pStyle w:val="12"/>
        <w:numPr>
          <w:ilvl w:val="0"/>
          <w:numId w:val="36"/>
        </w:numPr>
        <w:ind w:firstLineChars="0"/>
        <w:rPr>
          <w:rFonts w:ascii="楷体" w:hAnsi="楷体" w:eastAsia="楷体"/>
          <w:b/>
          <w:color w:val="000000"/>
          <w:szCs w:val="21"/>
        </w:rPr>
      </w:pPr>
      <w:r>
        <w:rPr>
          <w:rFonts w:hint="eastAsia" w:ascii="楷体" w:hAnsi="楷体" w:eastAsia="楷体"/>
          <w:b/>
          <w:color w:val="000000"/>
          <w:szCs w:val="21"/>
        </w:rPr>
        <w:t>甲方应妥善保存银行卡账户、预留手机号等信息，自行承担因自身对账号和密码保管及使用不当而造成的一切损失。</w:t>
      </w:r>
    </w:p>
    <w:p>
      <w:pPr>
        <w:pStyle w:val="12"/>
        <w:numPr>
          <w:ilvl w:val="0"/>
          <w:numId w:val="36"/>
        </w:numPr>
        <w:ind w:firstLineChars="0"/>
        <w:rPr>
          <w:rFonts w:ascii="楷体" w:hAnsi="楷体" w:eastAsia="楷体"/>
          <w:b/>
          <w:color w:val="000000"/>
          <w:szCs w:val="21"/>
        </w:rPr>
      </w:pPr>
      <w:r>
        <w:rPr>
          <w:rFonts w:hint="eastAsia" w:ascii="楷体" w:hAnsi="楷体" w:eastAsia="楷体"/>
          <w:b/>
          <w:color w:val="000000"/>
          <w:szCs w:val="21"/>
        </w:rPr>
        <w:t>甲方开通取现功能的，同时支持自动取现。即无需甲方手动发起指令，乙方即根据甲方选择的取现周期进行资金结算。</w:t>
      </w:r>
    </w:p>
    <w:p>
      <w:pPr>
        <w:pStyle w:val="12"/>
        <w:numPr>
          <w:ilvl w:val="0"/>
          <w:numId w:val="36"/>
        </w:numPr>
        <w:ind w:firstLineChars="0"/>
        <w:rPr>
          <w:rFonts w:ascii="楷体" w:hAnsi="楷体" w:eastAsia="楷体"/>
          <w:b/>
          <w:color w:val="000000"/>
          <w:szCs w:val="21"/>
        </w:rPr>
      </w:pPr>
      <w:r>
        <w:rPr>
          <w:rFonts w:hint="eastAsia" w:ascii="楷体" w:hAnsi="楷体" w:eastAsia="楷体"/>
          <w:szCs w:val="21"/>
        </w:rPr>
        <w:t>如甲方存在下述情形的，乙方有权拒绝提供T日或D+0日取现服务：</w:t>
      </w:r>
    </w:p>
    <w:p>
      <w:pPr>
        <w:pStyle w:val="12"/>
        <w:numPr>
          <w:ilvl w:val="0"/>
          <w:numId w:val="37"/>
        </w:numPr>
        <w:adjustRightInd w:val="0"/>
        <w:snapToGrid w:val="0"/>
        <w:ind w:firstLineChars="0"/>
        <w:rPr>
          <w:rFonts w:ascii="楷体" w:hAnsi="楷体" w:eastAsia="楷体"/>
          <w:szCs w:val="21"/>
        </w:rPr>
      </w:pPr>
      <w:r>
        <w:rPr>
          <w:rFonts w:hint="eastAsia" w:ascii="楷体" w:hAnsi="楷体" w:eastAsia="楷体"/>
          <w:szCs w:val="21"/>
        </w:rPr>
        <w:t>甲乙双方签署本协议不满90日的；</w:t>
      </w:r>
    </w:p>
    <w:p>
      <w:pPr>
        <w:pStyle w:val="12"/>
        <w:numPr>
          <w:ilvl w:val="0"/>
          <w:numId w:val="37"/>
        </w:numPr>
        <w:adjustRightInd w:val="0"/>
        <w:snapToGrid w:val="0"/>
        <w:ind w:firstLineChars="0"/>
        <w:rPr>
          <w:rFonts w:ascii="楷体" w:hAnsi="楷体" w:eastAsia="楷体"/>
          <w:szCs w:val="21"/>
        </w:rPr>
      </w:pPr>
      <w:r>
        <w:rPr>
          <w:rFonts w:hint="eastAsia" w:ascii="楷体" w:hAnsi="楷体" w:eastAsia="楷体"/>
          <w:szCs w:val="21"/>
        </w:rPr>
        <w:t>本协议有效期内，连续正常交易不满30日的。</w:t>
      </w:r>
    </w:p>
    <w:p>
      <w:pPr>
        <w:pStyle w:val="12"/>
        <w:numPr>
          <w:ilvl w:val="0"/>
          <w:numId w:val="35"/>
        </w:numPr>
        <w:ind w:firstLineChars="0"/>
        <w:rPr>
          <w:rFonts w:ascii="楷体" w:hAnsi="楷体" w:eastAsia="楷体"/>
          <w:b/>
          <w:szCs w:val="21"/>
        </w:rPr>
      </w:pPr>
      <w:r>
        <w:rPr>
          <w:rFonts w:hint="eastAsia" w:ascii="楷体" w:hAnsi="楷体" w:eastAsia="楷体"/>
          <w:b/>
          <w:szCs w:val="21"/>
        </w:rPr>
        <w:t>分账：</w:t>
      </w:r>
      <w:r>
        <w:rPr>
          <w:rFonts w:hint="eastAsia" w:ascii="楷体" w:hAnsi="楷体" w:eastAsia="楷体"/>
          <w:szCs w:val="21"/>
        </w:rPr>
        <w:t>乙方根据甲方或甲方授权的分账发起方向乙方传输的指令，凭专属账户余额资金，直接将待结算资金部分划付至甲方的账户，部分划付至分账接受方（如：供应商、平台、个人等）的账户。</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本协议下，甲方凭其合作公司发的系统/平台（下简称“业务系统”）向乙方支付系统发送向与甲方存在业务往来的指定收款人付款的分账指令，乙方按指令完成资金划拨。</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甲方在使用本协议项下分账功能时，通过业务系统提交资质材料、电子支付及交易等信息。甲方授权乙方向支付清算机构提供交易所必需的必要信息，</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本协议下甲方通过业务系统发出的任何交易指令、交易信息及向乙方提供服务有关的资料等均视为甲方发出，甲方应对此承担法律后果和法律责任。</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本协议项下，甲方通过平台发出的支付指令为不可撤销的付款指示,且每笔分账</w:t>
      </w:r>
      <w:r>
        <w:rPr>
          <w:rFonts w:ascii="楷体" w:hAnsi="楷体" w:eastAsia="楷体" w:cs="Times New Roman"/>
          <w:b/>
          <w:bCs/>
          <w:kern w:val="2"/>
          <w:sz w:val="21"/>
          <w:szCs w:val="21"/>
        </w:rPr>
        <w:t>申请</w:t>
      </w:r>
      <w:r>
        <w:rPr>
          <w:rFonts w:hint="eastAsia" w:ascii="楷体" w:hAnsi="楷体" w:eastAsia="楷体" w:cs="Times New Roman"/>
          <w:b/>
          <w:bCs/>
          <w:kern w:val="2"/>
          <w:sz w:val="21"/>
          <w:szCs w:val="21"/>
        </w:rPr>
        <w:t>只能对应一次成功的支付指令。甲方使用乙方的分账功能时，应确保自身通过业务系统发出的支付指令的合法性、真实性、有效性和完整性。乙方按甲方的支付指令完成操作后，包括但不限于甲方及其客户提供的支付信息不准确等因素造成的资金风险和责任由甲方承担。</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甲方承诺对所提供的收款人的账户信息及支付金额的准确性负责，并承担因信息不准确（包括但不限于错误、重复、确实等）导致的延迟或错误入账的风险责任。</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应保证提交的分账指令基于甲方与收款人存在完整、合法、真实的分账款交易合同，分账指令为基于此交易背景发起的支付指令，乙方有权要求甲方先行提供相关收付款人的交易合同，对于不具备完整性、合法性、真实性、不符合监管机构反洗钱方面的要求的交易指令，乙方有权不予以执行并且不承担违约责任。如因此类交易造成的乙方损失，乙方按本协议约定向甲方追偿。</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乙方仅为甲方与收款人之间提供特定用途的资金分账功能，甲方与收款人之间可能发生的各种商务纠纷由甲方及其收款人自行解决。</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甲方对本协议项下的分账款项用途的真实性、合法性负责，不得利用乙方提供的分账功能从事公款私存、套取现金、替代性汇款、贪污贿赂、逃税、洗钱等违法、违规活动。</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甲方承诺通过乙方分账功能支付的分账款项仅限于以下用途：</w:t>
      </w:r>
    </w:p>
    <w:p>
      <w:pPr>
        <w:pStyle w:val="6"/>
        <w:spacing w:before="0" w:beforeAutospacing="0" w:after="0" w:afterAutospacing="0"/>
        <w:ind w:left="422" w:leftChars="200" w:hanging="2" w:hangingChars="1"/>
        <w:jc w:val="both"/>
        <w:rPr>
          <w:rFonts w:ascii="楷体" w:hAnsi="楷体" w:eastAsia="楷体" w:cs="Times New Roman"/>
          <w:b/>
          <w:bCs/>
          <w:kern w:val="2"/>
          <w:sz w:val="21"/>
          <w:szCs w:val="21"/>
        </w:rPr>
      </w:pPr>
      <w:permStart w:id="107" w:edGrp="everyone"/>
      <w:r>
        <w:rPr>
          <w:rFonts w:hint="eastAsia" w:ascii="楷体" w:hAnsi="楷体" w:eastAsia="楷体" w:cs="Times New Roman"/>
          <w:b/>
          <w:bCs/>
          <w:kern w:val="2"/>
          <w:sz w:val="21"/>
          <w:szCs w:val="21"/>
        </w:rPr>
        <w:sym w:font="Wingdings" w:char="F0A8"/>
      </w:r>
      <w:permEnd w:id="107"/>
      <w:r>
        <w:rPr>
          <w:rFonts w:hint="eastAsia" w:ascii="楷体" w:hAnsi="楷体" w:eastAsia="楷体" w:cs="Times New Roman"/>
          <w:b/>
          <w:bCs/>
          <w:kern w:val="2"/>
          <w:sz w:val="21"/>
          <w:szCs w:val="21"/>
        </w:rPr>
        <w:t xml:space="preserve">销售返利/返佣  </w:t>
      </w:r>
      <w:permStart w:id="108" w:edGrp="everyone"/>
      <w:r>
        <w:rPr>
          <w:rFonts w:hint="eastAsia" w:ascii="楷体" w:hAnsi="楷体" w:eastAsia="楷体" w:cs="Times New Roman"/>
          <w:b/>
          <w:bCs/>
          <w:kern w:val="2"/>
          <w:sz w:val="21"/>
          <w:szCs w:val="21"/>
        </w:rPr>
        <w:sym w:font="Wingdings" w:char="F0A8"/>
      </w:r>
      <w:permEnd w:id="108"/>
      <w:r>
        <w:rPr>
          <w:rFonts w:hint="eastAsia" w:ascii="楷体" w:hAnsi="楷体" w:eastAsia="楷体" w:cs="Times New Roman"/>
          <w:b/>
          <w:bCs/>
          <w:kern w:val="2"/>
          <w:sz w:val="21"/>
          <w:szCs w:val="21"/>
        </w:rPr>
        <w:t xml:space="preserve">劳务费/稿酬  </w:t>
      </w:r>
      <w:permStart w:id="109" w:edGrp="everyone"/>
      <w:r>
        <w:rPr>
          <w:rFonts w:hint="eastAsia" w:ascii="楷体" w:hAnsi="楷体" w:eastAsia="楷体" w:cs="Times New Roman"/>
          <w:b/>
          <w:bCs/>
          <w:kern w:val="2"/>
          <w:sz w:val="21"/>
          <w:szCs w:val="21"/>
        </w:rPr>
        <w:sym w:font="Wingdings" w:char="F0A8"/>
      </w:r>
      <w:permEnd w:id="109"/>
      <w:r>
        <w:rPr>
          <w:rFonts w:hint="eastAsia" w:ascii="楷体" w:hAnsi="楷体" w:eastAsia="楷体" w:cs="Times New Roman"/>
          <w:b/>
          <w:bCs/>
          <w:kern w:val="2"/>
          <w:sz w:val="21"/>
          <w:szCs w:val="21"/>
        </w:rPr>
        <w:t>其他（请注明）</w:t>
      </w:r>
      <w:permStart w:id="110" w:edGrp="everyone"/>
      <w:r>
        <w:rPr>
          <w:rFonts w:hint="eastAsia" w:ascii="楷体" w:hAnsi="楷体" w:eastAsia="楷体" w:cs="Times New Roman"/>
          <w:b/>
          <w:bCs/>
          <w:kern w:val="2"/>
          <w:sz w:val="21"/>
          <w:szCs w:val="21"/>
          <w:u w:val="single"/>
        </w:rPr>
        <w:t xml:space="preserve"> </w:t>
      </w:r>
      <w:r>
        <w:rPr>
          <w:rFonts w:ascii="楷体" w:hAnsi="楷体" w:eastAsia="楷体" w:cs="Times New Roman"/>
          <w:b/>
          <w:bCs/>
          <w:kern w:val="2"/>
          <w:sz w:val="21"/>
          <w:szCs w:val="21"/>
          <w:u w:val="single"/>
        </w:rPr>
        <w:t xml:space="preserve">      </w:t>
      </w:r>
      <w:permEnd w:id="110"/>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甲方应配合乙方反洗钱工作，根据乙方要求提供证明付款用途真实、合法的相关材料。</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当甲方发生下列任何行为时，乙方有权向甲方提出改正，甲方拒不改正的，乙方有权终止本协议，并向甲方追偿相应的损失：</w:t>
      </w:r>
    </w:p>
    <w:p>
      <w:pPr>
        <w:pStyle w:val="12"/>
        <w:numPr>
          <w:ilvl w:val="0"/>
          <w:numId w:val="39"/>
        </w:numPr>
        <w:adjustRightInd w:val="0"/>
        <w:snapToGrid w:val="0"/>
        <w:ind w:left="422" w:hanging="422" w:hangingChars="201"/>
        <w:rPr>
          <w:rFonts w:ascii="楷体" w:hAnsi="楷体" w:eastAsia="楷体"/>
          <w:color w:val="000000"/>
          <w:szCs w:val="21"/>
        </w:rPr>
      </w:pPr>
      <w:r>
        <w:rPr>
          <w:rFonts w:hint="eastAsia" w:ascii="楷体" w:hAnsi="楷体" w:eastAsia="楷体"/>
          <w:color w:val="000000"/>
          <w:szCs w:val="21"/>
        </w:rPr>
        <w:t xml:space="preserve">利用乙方分账功能从事法律、法规明确禁止活动的； </w:t>
      </w:r>
    </w:p>
    <w:p>
      <w:pPr>
        <w:pStyle w:val="12"/>
        <w:numPr>
          <w:ilvl w:val="0"/>
          <w:numId w:val="39"/>
        </w:numPr>
        <w:adjustRightInd w:val="0"/>
        <w:snapToGrid w:val="0"/>
        <w:ind w:left="422" w:hanging="422" w:hangingChars="201"/>
        <w:rPr>
          <w:rFonts w:ascii="楷体" w:hAnsi="楷体" w:eastAsia="楷体"/>
          <w:color w:val="000000"/>
          <w:szCs w:val="21"/>
        </w:rPr>
      </w:pPr>
      <w:r>
        <w:rPr>
          <w:rFonts w:hint="eastAsia" w:ascii="楷体" w:hAnsi="楷体" w:eastAsia="楷体"/>
          <w:color w:val="000000"/>
          <w:szCs w:val="21"/>
        </w:rPr>
        <w:t>诋毁或损害乙方分账系统声誉的；</w:t>
      </w:r>
    </w:p>
    <w:p>
      <w:pPr>
        <w:pStyle w:val="12"/>
        <w:numPr>
          <w:ilvl w:val="0"/>
          <w:numId w:val="39"/>
        </w:numPr>
        <w:adjustRightInd w:val="0"/>
        <w:snapToGrid w:val="0"/>
        <w:ind w:left="422" w:hanging="422" w:hangingChars="201"/>
        <w:rPr>
          <w:rFonts w:ascii="楷体" w:hAnsi="楷体" w:eastAsia="楷体"/>
          <w:color w:val="000000"/>
          <w:szCs w:val="21"/>
        </w:rPr>
      </w:pPr>
      <w:r>
        <w:rPr>
          <w:rFonts w:hint="eastAsia" w:ascii="楷体" w:hAnsi="楷体" w:eastAsia="楷体"/>
          <w:color w:val="000000"/>
          <w:szCs w:val="21"/>
        </w:rPr>
        <w:t>分账款项的真实用途与本合同项下约定的用途不符的；</w:t>
      </w:r>
    </w:p>
    <w:p>
      <w:pPr>
        <w:pStyle w:val="6"/>
        <w:numPr>
          <w:ilvl w:val="0"/>
          <w:numId w:val="38"/>
        </w:numPr>
        <w:spacing w:before="0" w:beforeAutospacing="0" w:after="0" w:afterAutospacing="0"/>
        <w:ind w:left="424" w:hanging="424" w:hangingChars="201"/>
        <w:jc w:val="both"/>
        <w:rPr>
          <w:rFonts w:ascii="楷体" w:hAnsi="楷体" w:eastAsia="楷体"/>
          <w:b/>
          <w:bCs/>
          <w:color w:val="333333"/>
          <w:sz w:val="21"/>
          <w:szCs w:val="21"/>
          <w:shd w:val="clear" w:color="auto" w:fill="FFFFFF"/>
        </w:rPr>
      </w:pPr>
      <w:r>
        <w:rPr>
          <w:rFonts w:ascii="楷体" w:hAnsi="楷体" w:eastAsia="楷体" w:cs="Times New Roman"/>
          <w:b/>
          <w:bCs/>
          <w:kern w:val="2"/>
          <w:sz w:val="21"/>
          <w:szCs w:val="21"/>
        </w:rPr>
        <w:t>乙方有权根据对甲方的风险评估及交易管理需要，对甲方的分账比例和分账接收方数量进行限制和调整。乙方有权根据国家法律法规</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国家政策</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法令的规定</w:t>
      </w:r>
      <w:r>
        <w:rPr>
          <w:rFonts w:hint="eastAsia" w:ascii="楷体" w:hAnsi="楷体" w:eastAsia="楷体" w:cs="Times New Roman"/>
          <w:b/>
          <w:bCs/>
          <w:kern w:val="2"/>
          <w:sz w:val="21"/>
          <w:szCs w:val="21"/>
        </w:rPr>
        <w:t>及</w:t>
      </w:r>
      <w:r>
        <w:rPr>
          <w:rFonts w:ascii="楷体" w:hAnsi="楷体" w:eastAsia="楷体" w:cs="Times New Roman"/>
          <w:b/>
          <w:bCs/>
          <w:kern w:val="2"/>
          <w:sz w:val="21"/>
          <w:szCs w:val="21"/>
        </w:rPr>
        <w:t>自身需要调整分账功能并采取相应风控措施，同时有权基于风控管理要求，审核甲方使用分账功能的合法合规性，并要求甲方及时提供相关核实资料。</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u w:val="single"/>
        </w:rPr>
      </w:pPr>
      <w:r>
        <w:rPr>
          <w:rFonts w:ascii="楷体" w:hAnsi="楷体" w:eastAsia="楷体" w:cs="Times New Roman"/>
          <w:b/>
          <w:bCs/>
          <w:kern w:val="2"/>
          <w:sz w:val="21"/>
          <w:szCs w:val="21"/>
          <w:u w:val="single"/>
        </w:rPr>
        <w:t>甲方承诺</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本协议合作下</w:t>
      </w:r>
      <w:r>
        <w:rPr>
          <w:rFonts w:hint="eastAsia" w:ascii="楷体" w:hAnsi="楷体" w:eastAsia="楷体" w:cs="Times New Roman"/>
          <w:b/>
          <w:bCs/>
          <w:kern w:val="2"/>
          <w:sz w:val="21"/>
          <w:szCs w:val="21"/>
          <w:u w:val="single"/>
        </w:rPr>
        <w:t>，乙方有权根据风控政策配置</w:t>
      </w:r>
      <w:r>
        <w:rPr>
          <w:rFonts w:ascii="楷体" w:hAnsi="楷体" w:eastAsia="楷体" w:cs="Times New Roman"/>
          <w:b/>
          <w:bCs/>
          <w:kern w:val="2"/>
          <w:sz w:val="21"/>
          <w:szCs w:val="21"/>
          <w:u w:val="single"/>
        </w:rPr>
        <w:t>甲方的</w:t>
      </w:r>
      <w:r>
        <w:rPr>
          <w:rFonts w:hint="eastAsia" w:ascii="楷体" w:hAnsi="楷体" w:eastAsia="楷体" w:cs="Times New Roman"/>
          <w:b/>
          <w:bCs/>
          <w:kern w:val="2"/>
          <w:sz w:val="21"/>
          <w:szCs w:val="21"/>
          <w:u w:val="single"/>
        </w:rPr>
        <w:t>分账</w:t>
      </w:r>
      <w:r>
        <w:rPr>
          <w:rFonts w:ascii="楷体" w:hAnsi="楷体" w:eastAsia="楷体" w:cs="Times New Roman"/>
          <w:b/>
          <w:bCs/>
          <w:kern w:val="2"/>
          <w:sz w:val="21"/>
          <w:szCs w:val="21"/>
          <w:u w:val="single"/>
        </w:rPr>
        <w:t>比例区间</w:t>
      </w:r>
      <w:r>
        <w:rPr>
          <w:rFonts w:hint="eastAsia" w:ascii="楷体" w:hAnsi="楷体" w:eastAsia="楷体" w:cs="Times New Roman"/>
          <w:b/>
          <w:bCs/>
          <w:kern w:val="2"/>
          <w:sz w:val="21"/>
          <w:szCs w:val="21"/>
          <w:u w:val="single"/>
        </w:rPr>
        <w:t>，如发生甲方分账比例与</w:t>
      </w:r>
      <w:r>
        <w:rPr>
          <w:rFonts w:ascii="楷体" w:hAnsi="楷体" w:eastAsia="楷体" w:cs="Times New Roman"/>
          <w:b/>
          <w:bCs/>
          <w:kern w:val="2"/>
          <w:sz w:val="21"/>
          <w:szCs w:val="21"/>
          <w:u w:val="single"/>
        </w:rPr>
        <w:t>乙方风控配置的分账比例区间不符</w:t>
      </w:r>
      <w:r>
        <w:rPr>
          <w:rFonts w:hint="eastAsia" w:ascii="楷体" w:hAnsi="楷体" w:eastAsia="楷体" w:cs="Times New Roman"/>
          <w:b/>
          <w:bCs/>
          <w:kern w:val="2"/>
          <w:sz w:val="21"/>
          <w:szCs w:val="21"/>
          <w:u w:val="single"/>
        </w:rPr>
        <w:t>，乙方有权要求</w:t>
      </w:r>
      <w:r>
        <w:rPr>
          <w:rFonts w:ascii="楷体" w:hAnsi="楷体" w:eastAsia="楷体" w:cs="Times New Roman"/>
          <w:b/>
          <w:bCs/>
          <w:kern w:val="2"/>
          <w:sz w:val="21"/>
          <w:szCs w:val="21"/>
          <w:u w:val="single"/>
        </w:rPr>
        <w:t>甲方配合乙方的风控调查</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出具合理性说明等</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且乙方有权对甲方采取相应风控措施</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包括但不限于限制交易额度</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延迟结算</w:t>
      </w:r>
      <w:r>
        <w:rPr>
          <w:rFonts w:hint="eastAsia" w:ascii="楷体" w:hAnsi="楷体" w:eastAsia="楷体" w:cs="Times New Roman"/>
          <w:b/>
          <w:bCs/>
          <w:kern w:val="2"/>
          <w:sz w:val="21"/>
          <w:szCs w:val="21"/>
          <w:u w:val="single"/>
        </w:rPr>
        <w:t>、</w:t>
      </w:r>
      <w:r>
        <w:rPr>
          <w:rFonts w:ascii="楷体" w:hAnsi="楷体" w:eastAsia="楷体" w:cs="Times New Roman"/>
          <w:b/>
          <w:bCs/>
          <w:kern w:val="2"/>
          <w:sz w:val="21"/>
          <w:szCs w:val="21"/>
          <w:u w:val="single"/>
        </w:rPr>
        <w:t>暂停支付服务等</w:t>
      </w:r>
      <w:r>
        <w:rPr>
          <w:rFonts w:hint="eastAsia" w:ascii="楷体" w:hAnsi="楷体" w:eastAsia="楷体" w:cs="Times New Roman"/>
          <w:b/>
          <w:bCs/>
          <w:kern w:val="2"/>
          <w:sz w:val="21"/>
          <w:szCs w:val="21"/>
          <w:u w:val="single"/>
        </w:rPr>
        <w:t>。</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ascii="楷体" w:hAnsi="楷体" w:eastAsia="楷体" w:cs="Times New Roman"/>
          <w:b/>
          <w:bCs/>
          <w:kern w:val="2"/>
          <w:sz w:val="21"/>
          <w:szCs w:val="21"/>
        </w:rPr>
        <w:t>甲方确认</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在使用分账功能时</w:t>
      </w:r>
      <w:r>
        <w:rPr>
          <w:rFonts w:hint="eastAsia" w:ascii="楷体" w:hAnsi="楷体" w:eastAsia="楷体" w:cs="Times New Roman"/>
          <w:b/>
          <w:bCs/>
          <w:kern w:val="2"/>
          <w:sz w:val="21"/>
          <w:szCs w:val="21"/>
        </w:rPr>
        <w:t>，</w:t>
      </w:r>
      <w:r>
        <w:rPr>
          <w:rFonts w:ascii="楷体" w:hAnsi="楷体" w:eastAsia="楷体" w:cs="Times New Roman"/>
          <w:b/>
          <w:bCs/>
          <w:kern w:val="2"/>
          <w:sz w:val="21"/>
          <w:szCs w:val="21"/>
        </w:rPr>
        <w:t>若涉及纳税或代扣代缴税款的义务，由甲方自行承担该义务。</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ascii="楷体" w:hAnsi="楷体" w:eastAsia="楷体" w:cs="Times New Roman"/>
          <w:b/>
          <w:bCs/>
          <w:kern w:val="2"/>
          <w:sz w:val="21"/>
          <w:szCs w:val="21"/>
        </w:rPr>
        <w:t>甲方确认</w:t>
      </w:r>
      <w:r>
        <w:rPr>
          <w:rFonts w:hint="eastAsia" w:ascii="楷体" w:hAnsi="楷体" w:eastAsia="楷体" w:cs="Times New Roman"/>
          <w:b/>
          <w:bCs/>
          <w:kern w:val="2"/>
          <w:sz w:val="21"/>
          <w:szCs w:val="21"/>
        </w:rPr>
        <w:t>，乙方</w:t>
      </w:r>
      <w:r>
        <w:rPr>
          <w:rFonts w:ascii="楷体" w:hAnsi="楷体" w:eastAsia="楷体" w:cs="Times New Roman"/>
          <w:b/>
          <w:bCs/>
          <w:kern w:val="2"/>
          <w:sz w:val="21"/>
          <w:szCs w:val="21"/>
        </w:rPr>
        <w:t>只是执行甲方或甲方授权的分账发起方的资金划付和扣划指令，无义务向甲方核实该划付和扣划指令的合法有效性，也无义务向分账接收方验证该划付和扣划指令的有效性。若因甲方使用分账功能导致甲方或分账接收方遭受损失的，由甲方和分账接收方协商解决，与乙方无关。</w:t>
      </w:r>
    </w:p>
    <w:p>
      <w:pPr>
        <w:pStyle w:val="6"/>
        <w:numPr>
          <w:ilvl w:val="0"/>
          <w:numId w:val="38"/>
        </w:numPr>
        <w:spacing w:before="0" w:beforeAutospacing="0" w:after="0" w:afterAutospacing="0"/>
        <w:ind w:left="424" w:hanging="424" w:hangingChars="201"/>
        <w:jc w:val="both"/>
        <w:rPr>
          <w:rFonts w:ascii="楷体" w:hAnsi="楷体" w:eastAsia="楷体" w:cs="Times New Roman"/>
          <w:b/>
          <w:bCs/>
          <w:kern w:val="2"/>
          <w:sz w:val="21"/>
          <w:szCs w:val="21"/>
        </w:rPr>
      </w:pPr>
      <w:r>
        <w:rPr>
          <w:rFonts w:hint="eastAsia" w:ascii="楷体" w:hAnsi="楷体" w:eastAsia="楷体" w:cs="Times New Roman"/>
          <w:b/>
          <w:bCs/>
          <w:kern w:val="2"/>
          <w:sz w:val="21"/>
          <w:szCs w:val="21"/>
        </w:rPr>
        <w:t>因甲方违反本条上述约定的，乙方有权暂停向甲方提供本协议项下服务，情节严重的，乙方有权单方解除协议并要求甲方承担赔偿责任。</w:t>
      </w:r>
    </w:p>
    <w:p>
      <w:pPr>
        <w:adjustRightInd w:val="0"/>
        <w:snapToGrid w:val="0"/>
        <w:rPr>
          <w:rFonts w:ascii="楷体" w:hAnsi="楷体" w:eastAsia="楷体"/>
          <w:szCs w:val="21"/>
        </w:rPr>
      </w:pPr>
      <w:r>
        <w:rPr>
          <w:rFonts w:hint="eastAsia" w:ascii="楷体" w:hAnsi="楷体" w:eastAsia="楷体"/>
          <w:szCs w:val="21"/>
        </w:rPr>
        <w:t>（六）若发卡行或乙方要求甲方必须在相关方履行相关义务后（例如签订书面分期付款协议等）才能提供商品或服务的，甲方必须按照发卡行或乙方要求进行操作。如甲方违反此规定造成乙方或发卡行损失的，甲方须承担赔偿责任。</w:t>
      </w:r>
      <w:r>
        <w:rPr>
          <w:rFonts w:hint="eastAsia" w:ascii="楷体" w:hAnsi="楷体" w:eastAsia="楷体"/>
          <w:szCs w:val="21"/>
        </w:rPr>
        <w:tab/>
      </w:r>
      <w:r>
        <w:rPr>
          <w:rFonts w:hint="eastAsia" w:ascii="楷体" w:hAnsi="楷体" w:eastAsia="楷体"/>
          <w:szCs w:val="21"/>
        </w:rPr>
        <w:t>对于发卡行或清算机构的合理拒付（包括但不限于客户否认交易等）的交易风险和由此产生的损失，由依据本协议确定的造成相关损失的责任方承担。</w:t>
      </w:r>
    </w:p>
    <w:p>
      <w:pPr>
        <w:adjustRightInd w:val="0"/>
        <w:snapToGrid w:val="0"/>
        <w:rPr>
          <w:rFonts w:ascii="楷体" w:hAnsi="楷体" w:eastAsia="楷体"/>
          <w:szCs w:val="21"/>
        </w:rPr>
      </w:pPr>
    </w:p>
    <w:p>
      <w:pPr>
        <w:pStyle w:val="12"/>
        <w:numPr>
          <w:ilvl w:val="0"/>
          <w:numId w:val="2"/>
        </w:numPr>
        <w:ind w:firstLineChars="0"/>
        <w:jc w:val="center"/>
        <w:rPr>
          <w:rFonts w:ascii="楷体" w:hAnsi="楷体" w:eastAsia="楷体"/>
          <w:b/>
          <w:bCs/>
          <w:szCs w:val="21"/>
        </w:rPr>
      </w:pPr>
      <w:r>
        <w:rPr>
          <w:rFonts w:hint="eastAsia" w:ascii="楷体" w:hAnsi="楷体" w:eastAsia="楷体"/>
          <w:b/>
          <w:bCs/>
          <w:szCs w:val="21"/>
        </w:rPr>
        <w:t>专属账户</w:t>
      </w:r>
    </w:p>
    <w:p>
      <w:pPr>
        <w:pStyle w:val="12"/>
        <w:numPr>
          <w:ilvl w:val="0"/>
          <w:numId w:val="40"/>
        </w:numPr>
        <w:ind w:firstLineChars="0"/>
        <w:rPr>
          <w:rFonts w:ascii="楷体" w:hAnsi="楷体" w:eastAsia="楷体"/>
          <w:b/>
          <w:bCs/>
          <w:szCs w:val="21"/>
        </w:rPr>
      </w:pPr>
      <w:r>
        <w:rPr>
          <w:rFonts w:hint="eastAsia" w:ascii="楷体" w:hAnsi="楷体" w:eastAsia="楷体"/>
          <w:b/>
          <w:bCs/>
          <w:szCs w:val="21"/>
        </w:rPr>
        <w:t>专属账户的开立</w:t>
      </w:r>
    </w:p>
    <w:p>
      <w:pPr>
        <w:adjustRightInd w:val="0"/>
        <w:snapToGrid w:val="0"/>
        <w:ind w:firstLine="420" w:firstLineChars="200"/>
        <w:rPr>
          <w:rFonts w:ascii="楷体" w:hAnsi="楷体" w:eastAsia="楷体"/>
          <w:szCs w:val="21"/>
        </w:rPr>
      </w:pPr>
      <w:r>
        <w:rPr>
          <w:rFonts w:hint="eastAsia" w:ascii="楷体" w:hAnsi="楷体" w:eastAsia="楷体"/>
          <w:szCs w:val="21"/>
        </w:rPr>
        <w:t>乙方根据甲方需要及《非银行支付机构网络支付业务管理办法》（下称“管理办法”）相关要求，为甲方开立专属账户，并提供相关必要的信息查询、技术支持等服务，具体以乙方实际提供的为准，主要流程包括：</w:t>
      </w:r>
    </w:p>
    <w:p>
      <w:pPr>
        <w:pStyle w:val="12"/>
        <w:numPr>
          <w:ilvl w:val="0"/>
          <w:numId w:val="41"/>
        </w:numPr>
        <w:adjustRightInd w:val="0"/>
        <w:snapToGrid w:val="0"/>
        <w:ind w:firstLineChars="0"/>
        <w:rPr>
          <w:rFonts w:ascii="楷体" w:hAnsi="楷体" w:eastAsia="楷体"/>
          <w:szCs w:val="21"/>
        </w:rPr>
      </w:pPr>
      <w:r>
        <w:rPr>
          <w:rFonts w:hint="eastAsia" w:ascii="楷体" w:hAnsi="楷体" w:eastAsia="楷体"/>
          <w:szCs w:val="21"/>
        </w:rPr>
        <w:t>甲方应当严格遵守国家法律、法规及有关部门的规定，具备从事相关业务的资质条件，依法办理相应行政许可或备案。甲方应向乙方如实提供企业资质、品牌介绍、业务情况说明及相关法律证明，并授权乙方有权基于业务管理之需要对甲方资信状况进行调查与核实。</w:t>
      </w:r>
    </w:p>
    <w:p>
      <w:pPr>
        <w:pStyle w:val="12"/>
        <w:numPr>
          <w:ilvl w:val="0"/>
          <w:numId w:val="41"/>
        </w:numPr>
        <w:adjustRightInd w:val="0"/>
        <w:snapToGrid w:val="0"/>
        <w:ind w:firstLineChars="0"/>
        <w:rPr>
          <w:rFonts w:ascii="楷体" w:hAnsi="楷体" w:eastAsia="楷体"/>
          <w:b/>
          <w:szCs w:val="21"/>
        </w:rPr>
      </w:pPr>
      <w:r>
        <w:rPr>
          <w:rFonts w:ascii="楷体" w:hAnsi="楷体" w:eastAsia="楷体"/>
          <w:b/>
          <w:szCs w:val="21"/>
        </w:rPr>
        <w:t>甲方应保证所提交资料的准确性、真实性、完整性、合法性，如因资料存在虚假、不准确、遗漏而造成乙方损失的（包括但不限于监管机构处罚等），由甲方承担全部赔偿责任。如上述信息发生变更，包括但不限于合作主体、企业名称、法定代表人、业务对接人等，应提前</w:t>
      </w:r>
      <w:r>
        <w:rPr>
          <w:rFonts w:ascii="楷体" w:hAnsi="楷体" w:eastAsia="楷体"/>
          <w:b/>
          <w:szCs w:val="21"/>
          <w:u w:val="single"/>
        </w:rPr>
        <w:t>5</w:t>
      </w:r>
      <w:r>
        <w:rPr>
          <w:rFonts w:ascii="楷体" w:hAnsi="楷体" w:eastAsia="楷体"/>
          <w:b/>
          <w:szCs w:val="21"/>
        </w:rPr>
        <w:t>个工作日书面通知乙方，依据乙方要求配合完成变更确认手续并提供相关变更证明。</w:t>
      </w:r>
    </w:p>
    <w:p>
      <w:pPr>
        <w:pStyle w:val="12"/>
        <w:numPr>
          <w:ilvl w:val="0"/>
          <w:numId w:val="41"/>
        </w:numPr>
        <w:ind w:firstLineChars="0"/>
        <w:rPr>
          <w:rFonts w:ascii="楷体" w:hAnsi="楷体" w:eastAsia="楷体"/>
          <w:szCs w:val="21"/>
        </w:rPr>
      </w:pPr>
      <w:r>
        <w:rPr>
          <w:rFonts w:hint="eastAsia" w:ascii="楷体" w:hAnsi="楷体" w:eastAsia="楷体"/>
          <w:szCs w:val="21"/>
        </w:rPr>
        <w:t>乙方按照实名制管理要求，登记并采取有效措施验证甲方身份信息，按照规定核对甲方现时有效的身份证件，包括但不限于营业执照、事业单位法人证书、税务登记证、组织机构代码证、法定代表人身份证等，并留存相应复印件或者影印件，建立甲方唯一识别编码，确保有效核实甲方身份和真实意愿后，为其开立专属账户。</w:t>
      </w:r>
    </w:p>
    <w:p>
      <w:pPr>
        <w:pStyle w:val="12"/>
        <w:numPr>
          <w:ilvl w:val="0"/>
          <w:numId w:val="41"/>
        </w:numPr>
        <w:ind w:firstLineChars="0"/>
        <w:rPr>
          <w:rFonts w:ascii="楷体" w:hAnsi="楷体" w:eastAsia="楷体"/>
          <w:b/>
          <w:szCs w:val="21"/>
        </w:rPr>
      </w:pPr>
      <w:r>
        <w:rPr>
          <w:rFonts w:hint="eastAsia" w:ascii="楷体" w:hAnsi="楷体" w:eastAsia="楷体"/>
          <w:b/>
          <w:szCs w:val="21"/>
        </w:rPr>
        <w:t>甲方知悉，如甲方为从事电子商务经营活动、不具备工商登记注册条件且相关法律法规允许不进行工商登记注册的个人，并且不符合《管理办法》关于支付机构参照单位客户管理的个人卖家的条件要求，乙方不为甲方开立本协议项下专属账户，且有权单方解除本协议。</w:t>
      </w:r>
    </w:p>
    <w:p>
      <w:pPr>
        <w:rPr>
          <w:rFonts w:ascii="楷体" w:hAnsi="楷体" w:eastAsia="楷体"/>
          <w:b/>
          <w:szCs w:val="21"/>
        </w:rPr>
      </w:pPr>
    </w:p>
    <w:p>
      <w:pPr>
        <w:pStyle w:val="12"/>
        <w:numPr>
          <w:ilvl w:val="0"/>
          <w:numId w:val="40"/>
        </w:numPr>
        <w:ind w:firstLineChars="0"/>
        <w:rPr>
          <w:rFonts w:ascii="楷体" w:hAnsi="楷体" w:eastAsia="楷体"/>
          <w:b/>
          <w:szCs w:val="21"/>
        </w:rPr>
      </w:pPr>
      <w:r>
        <w:rPr>
          <w:rFonts w:hint="eastAsia" w:ascii="楷体" w:hAnsi="楷体" w:eastAsia="楷体"/>
          <w:b/>
          <w:szCs w:val="21"/>
        </w:rPr>
        <w:t>风险</w:t>
      </w:r>
      <w:r>
        <w:rPr>
          <w:rFonts w:ascii="楷体" w:hAnsi="楷体" w:eastAsia="楷体"/>
          <w:b/>
          <w:szCs w:val="21"/>
        </w:rPr>
        <w:t>提示及特别约定</w:t>
      </w:r>
    </w:p>
    <w:p>
      <w:pPr>
        <w:pStyle w:val="12"/>
        <w:numPr>
          <w:ilvl w:val="0"/>
          <w:numId w:val="42"/>
        </w:numPr>
        <w:ind w:firstLineChars="0"/>
        <w:rPr>
          <w:rFonts w:ascii="楷体" w:hAnsi="楷体" w:eastAsia="楷体"/>
          <w:b/>
          <w:szCs w:val="21"/>
        </w:rPr>
      </w:pPr>
      <w:r>
        <w:rPr>
          <w:rFonts w:hint="eastAsia" w:ascii="楷体" w:hAnsi="楷体" w:eastAsia="楷体"/>
          <w:b/>
          <w:szCs w:val="21"/>
        </w:rPr>
        <w:t>专属账户所记录的资金明细不同于甲方本人的银行存款，不受《存款保险条例》保护，其实质为甲方委托乙方保管的、所有权归属于甲方的待结算金额。该金额对应的货币资金虽然属于甲方，但不以甲方本人名义存放在银行，而是以乙方名义存放在银行，并且由乙方向银行发起结算至甲方银行账户。</w:t>
      </w:r>
    </w:p>
    <w:p>
      <w:pPr>
        <w:pStyle w:val="12"/>
        <w:numPr>
          <w:ilvl w:val="0"/>
          <w:numId w:val="42"/>
        </w:numPr>
        <w:ind w:firstLineChars="0"/>
        <w:rPr>
          <w:rFonts w:ascii="楷体" w:hAnsi="楷体" w:eastAsia="楷体"/>
          <w:b/>
          <w:szCs w:val="21"/>
        </w:rPr>
      </w:pPr>
      <w:r>
        <w:rPr>
          <w:rFonts w:hint="eastAsia" w:ascii="楷体" w:hAnsi="楷体" w:eastAsia="楷体"/>
          <w:b/>
          <w:szCs w:val="21"/>
        </w:rPr>
        <w:t>甲方充分知悉，乙方仅提供支付相关服务，甲方应承担使用支付服务时其资金的货币贬值、汇率波动等风险。</w:t>
      </w:r>
    </w:p>
    <w:p>
      <w:pPr>
        <w:pStyle w:val="12"/>
        <w:numPr>
          <w:ilvl w:val="0"/>
          <w:numId w:val="42"/>
        </w:numPr>
        <w:ind w:firstLineChars="0"/>
        <w:rPr>
          <w:rFonts w:ascii="楷体" w:hAnsi="楷体" w:eastAsia="楷体"/>
          <w:b/>
          <w:szCs w:val="21"/>
        </w:rPr>
      </w:pPr>
      <w:r>
        <w:rPr>
          <w:rFonts w:hint="eastAsia" w:ascii="楷体" w:hAnsi="楷体" w:eastAsia="楷体"/>
          <w:b/>
          <w:szCs w:val="21"/>
        </w:rPr>
        <w:t>鉴于专属账户与客户在甲方网站注册的账户绑定，甲方及甲方用户应妥善保管其网站注册账户及密码，并自行承担保管不善导致的损失。</w:t>
      </w:r>
    </w:p>
    <w:p>
      <w:pPr>
        <w:pStyle w:val="12"/>
        <w:numPr>
          <w:ilvl w:val="0"/>
          <w:numId w:val="42"/>
        </w:numPr>
        <w:ind w:firstLineChars="0"/>
        <w:rPr>
          <w:rFonts w:ascii="楷体" w:hAnsi="楷体" w:eastAsia="楷体"/>
          <w:b/>
          <w:szCs w:val="21"/>
        </w:rPr>
      </w:pPr>
      <w:r>
        <w:rPr>
          <w:rFonts w:hint="eastAsia" w:ascii="楷体" w:hAnsi="楷体" w:eastAsia="楷体"/>
          <w:b/>
          <w:szCs w:val="21"/>
        </w:rPr>
        <w:t>甲方充分知悉，网上交易有风险，甲方与他人因网上交易产生的商品或服务质量、数量、交易金额、交货时间等纠纷及损失，应由甲方独立承担责任。</w:t>
      </w:r>
    </w:p>
    <w:p>
      <w:pPr>
        <w:pStyle w:val="12"/>
        <w:numPr>
          <w:ilvl w:val="0"/>
          <w:numId w:val="42"/>
        </w:numPr>
        <w:adjustRightInd w:val="0"/>
        <w:snapToGrid w:val="0"/>
        <w:ind w:firstLineChars="0"/>
        <w:rPr>
          <w:rFonts w:ascii="楷体" w:hAnsi="楷体" w:eastAsia="楷体"/>
          <w:szCs w:val="21"/>
        </w:rPr>
      </w:pPr>
      <w:r>
        <w:rPr>
          <w:rFonts w:hint="eastAsia" w:ascii="楷体" w:hAnsi="楷体" w:eastAsia="楷体"/>
          <w:b/>
          <w:szCs w:val="21"/>
        </w:rPr>
        <w:t>甲方对乙方所提示的风险和列示措施、说明完全理解和同意，承诺采取相关风险防范措施以尽量避免或减小风险。</w:t>
      </w:r>
    </w:p>
    <w:p>
      <w:pPr>
        <w:adjustRightInd w:val="0"/>
        <w:snapToGrid w:val="0"/>
        <w:rPr>
          <w:rFonts w:ascii="楷体" w:hAnsi="楷体" w:eastAsia="楷体"/>
          <w:szCs w:val="21"/>
        </w:rPr>
      </w:pPr>
    </w:p>
    <w:p>
      <w:pPr>
        <w:pStyle w:val="12"/>
        <w:numPr>
          <w:ilvl w:val="0"/>
          <w:numId w:val="40"/>
        </w:numPr>
        <w:ind w:firstLineChars="0"/>
        <w:rPr>
          <w:rFonts w:ascii="楷体" w:hAnsi="楷体" w:eastAsia="楷体"/>
          <w:b/>
          <w:szCs w:val="21"/>
        </w:rPr>
      </w:pPr>
      <w:r>
        <w:rPr>
          <w:rFonts w:hint="eastAsia" w:ascii="楷体" w:hAnsi="楷体" w:eastAsia="楷体"/>
          <w:b/>
          <w:szCs w:val="21"/>
        </w:rPr>
        <w:t>规范使用专属账户承诺</w:t>
      </w:r>
    </w:p>
    <w:p>
      <w:pPr>
        <w:ind w:firstLine="420" w:firstLineChars="200"/>
        <w:rPr>
          <w:rFonts w:ascii="楷体" w:hAnsi="楷体" w:eastAsia="楷体"/>
          <w:szCs w:val="21"/>
        </w:rPr>
      </w:pPr>
      <w:r>
        <w:rPr>
          <w:rFonts w:hint="eastAsia" w:ascii="楷体" w:hAnsi="楷体" w:eastAsia="楷体"/>
          <w:szCs w:val="21"/>
        </w:rPr>
        <w:t>为配合乙方贯彻落实《人民币银行结算账户管理办法》、《非银行支付机构网络支付业务管理办法》、《中国人民银行关于进一步加强支付结算管理防范电信网络新型违法犯罪有关事项的通知》等相关法律法规规定，有效应对和防范电信网络新型违反犯罪活动，保护金融消费者财产安全和合法权益，优化商户服务，现基于甲乙双方的业务合作关系，甲方及甲方法定代表人承诺同意如下事项：</w:t>
      </w:r>
    </w:p>
    <w:p>
      <w:pPr>
        <w:pStyle w:val="12"/>
        <w:numPr>
          <w:ilvl w:val="0"/>
          <w:numId w:val="43"/>
        </w:numPr>
        <w:ind w:firstLineChars="0"/>
        <w:rPr>
          <w:rFonts w:ascii="楷体" w:hAnsi="楷体" w:eastAsia="楷体"/>
          <w:szCs w:val="21"/>
        </w:rPr>
      </w:pPr>
      <w:r>
        <w:rPr>
          <w:rFonts w:hint="eastAsia" w:ascii="楷体" w:hAnsi="楷体" w:eastAsia="楷体"/>
          <w:szCs w:val="21"/>
        </w:rPr>
        <w:t>同意并确认系自愿申请在乙方开立单位账户，并保证向乙方提交的单位账户开户证明文件真实、完整、合规，且开户文件所属人与开户申请人保持一致。</w:t>
      </w:r>
    </w:p>
    <w:p>
      <w:pPr>
        <w:pStyle w:val="12"/>
        <w:numPr>
          <w:ilvl w:val="0"/>
          <w:numId w:val="43"/>
        </w:numPr>
        <w:ind w:firstLineChars="0"/>
        <w:rPr>
          <w:rFonts w:ascii="楷体" w:hAnsi="楷体" w:eastAsia="楷体"/>
          <w:szCs w:val="21"/>
        </w:rPr>
      </w:pPr>
      <w:r>
        <w:rPr>
          <w:rFonts w:hint="eastAsia" w:ascii="楷体" w:hAnsi="楷体" w:eastAsia="楷体"/>
          <w:szCs w:val="21"/>
        </w:rPr>
        <w:t>乙方为甲方开立的单位账户仅供甲方在双方协议范围内合法、合规、合理使用，甲方不得出租、出借、出售或有其他变相买卖单位账户的行为。如有违反，导致甲方被市级及以上公安机关认定为买卖单位账户、冒名开户等违法行为的，乙方有权依据相关法律法规的规定，5年内暂停甲方所有业务，并不再为甲方开立新账户。惩戒期满后，甲方如需办理新开立账户业务的，乙方有权要求甲方提供账户使用相关证明文件等其他资质材料。</w:t>
      </w:r>
    </w:p>
    <w:p>
      <w:pPr>
        <w:pStyle w:val="12"/>
        <w:numPr>
          <w:ilvl w:val="0"/>
          <w:numId w:val="43"/>
        </w:numPr>
        <w:ind w:firstLineChars="0"/>
        <w:rPr>
          <w:rFonts w:ascii="楷体" w:hAnsi="楷体" w:eastAsia="楷体"/>
          <w:szCs w:val="21"/>
        </w:rPr>
      </w:pPr>
      <w:r>
        <w:rPr>
          <w:rFonts w:hint="eastAsia" w:ascii="楷体" w:hAnsi="楷体" w:eastAsia="楷体"/>
          <w:szCs w:val="21"/>
        </w:rPr>
        <w:t>甲方应提高账户的合规使用意识，并配合乙方做好账户审核、动态符合、对账、风险监测及后续控制措施等工作。如遇账户变更、撤销或其他行政性变更的，应当及时告知乙方并提交相关说明和证明文件。</w:t>
      </w:r>
    </w:p>
    <w:p>
      <w:pPr>
        <w:pStyle w:val="12"/>
        <w:numPr>
          <w:ilvl w:val="0"/>
          <w:numId w:val="43"/>
        </w:numPr>
        <w:ind w:firstLineChars="0"/>
        <w:rPr>
          <w:rFonts w:ascii="楷体" w:hAnsi="楷体" w:eastAsia="楷体"/>
          <w:szCs w:val="21"/>
        </w:rPr>
      </w:pPr>
      <w:r>
        <w:rPr>
          <w:rFonts w:hint="eastAsia" w:ascii="楷体" w:hAnsi="楷体" w:eastAsia="楷体"/>
          <w:szCs w:val="21"/>
        </w:rPr>
        <w:t>甲方将不断提高社会责任意识，秉持合法经营、合规使用的原则，始终把消费者合法权益的保护工作放在首位。甲方愿意积极维护消费者合法权益，在发生交易风险时，同意乙方对甲方采取控制账户交易等风险控制措施。</w:t>
      </w:r>
      <w:bookmarkEnd w:id="0"/>
    </w:p>
    <w:sectPr>
      <w:footerReference r:id="rId3" w:type="default"/>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6825537"/>
      <w:docPartObj>
        <w:docPartGallery w:val="AutoText"/>
      </w:docPartObj>
    </w:sdtPr>
    <w:sdtEndPr>
      <w:rPr>
        <w:lang w:val="zh-CN"/>
      </w:rPr>
    </w:sdtEndPr>
    <w:sdtContent>
      <w:sdt>
        <w:sdtPr>
          <w:id w:val="1728636285"/>
          <w:docPartObj>
            <w:docPartGallery w:val="AutoText"/>
          </w:docPartObj>
        </w:sdtPr>
        <w:sdtEndPr>
          <w:rPr>
            <w:lang w:val="zh-CN"/>
          </w:rPr>
        </w:sdtEndPr>
        <w:sdtContent>
          <w:p>
            <w:pPr>
              <w:pStyle w:val="4"/>
              <w:jc w:val="center"/>
              <w:rPr>
                <w:b/>
                <w:bCs/>
                <w:sz w:val="24"/>
                <w:szCs w:val="24"/>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15</w:t>
            </w:r>
            <w:r>
              <w:rPr>
                <w:b/>
                <w:bCs/>
                <w:sz w:val="24"/>
                <w:szCs w:val="24"/>
              </w:rPr>
              <w:fldChar w:fldCharType="end"/>
            </w:r>
          </w:p>
          <w:p>
            <w:pPr>
              <w:pStyle w:val="4"/>
              <w:jc w:val="right"/>
              <w:rPr>
                <w:lang w:val="zh-CN"/>
              </w:rPr>
            </w:pPr>
            <w:r>
              <w:rPr>
                <w:lang w:val="zh-CN"/>
              </w:rPr>
              <w:t>XLS V1.0 2021.07</w:t>
            </w:r>
          </w:p>
        </w:sdtContent>
      </w:sdt>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5888"/>
    <w:multiLevelType w:val="multilevel"/>
    <w:tmpl w:val="02285888"/>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
    <w:nsid w:val="03132D00"/>
    <w:multiLevelType w:val="multilevel"/>
    <w:tmpl w:val="03132D00"/>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2">
    <w:nsid w:val="056E6D86"/>
    <w:multiLevelType w:val="multilevel"/>
    <w:tmpl w:val="056E6D8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5DE5792"/>
    <w:multiLevelType w:val="multilevel"/>
    <w:tmpl w:val="05DE57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6AA6118"/>
    <w:multiLevelType w:val="multilevel"/>
    <w:tmpl w:val="06AA61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6CA1521"/>
    <w:multiLevelType w:val="multilevel"/>
    <w:tmpl w:val="06CA152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9221446"/>
    <w:multiLevelType w:val="multilevel"/>
    <w:tmpl w:val="09221446"/>
    <w:lvl w:ilvl="0" w:tentative="0">
      <w:start w:val="1"/>
      <w:numFmt w:val="decimal"/>
      <w:lvlText w:val="%1、"/>
      <w:lvlJc w:val="left"/>
      <w:pPr>
        <w:ind w:left="360" w:hanging="360"/>
      </w:pPr>
      <w:rPr>
        <w:rFonts w:ascii="楷体" w:hAnsi="楷体" w:eastAsia="楷体"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D4D72EE"/>
    <w:multiLevelType w:val="multilevel"/>
    <w:tmpl w:val="0D4D72E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2120011"/>
    <w:multiLevelType w:val="multilevel"/>
    <w:tmpl w:val="1212001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42158F3"/>
    <w:multiLevelType w:val="multilevel"/>
    <w:tmpl w:val="142158F3"/>
    <w:lvl w:ilvl="0" w:tentative="0">
      <w:start w:val="1"/>
      <w:numFmt w:val="decimal"/>
      <w:lvlText w:val="%1."/>
      <w:lvlJc w:val="left"/>
      <w:pPr>
        <w:ind w:left="420" w:hanging="420"/>
      </w:pPr>
      <w:rPr>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7776025"/>
    <w:multiLevelType w:val="multilevel"/>
    <w:tmpl w:val="17776025"/>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1">
    <w:nsid w:val="1B4A1E62"/>
    <w:multiLevelType w:val="multilevel"/>
    <w:tmpl w:val="1B4A1E62"/>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2">
    <w:nsid w:val="1C384724"/>
    <w:multiLevelType w:val="multilevel"/>
    <w:tmpl w:val="1C38472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1E1E18E2"/>
    <w:multiLevelType w:val="multilevel"/>
    <w:tmpl w:val="1E1E18E2"/>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14">
    <w:nsid w:val="22CB7AD3"/>
    <w:multiLevelType w:val="multilevel"/>
    <w:tmpl w:val="22CB7AD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239B39C5"/>
    <w:multiLevelType w:val="multilevel"/>
    <w:tmpl w:val="239B39C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244357E9"/>
    <w:multiLevelType w:val="multilevel"/>
    <w:tmpl w:val="244357E9"/>
    <w:lvl w:ilvl="0" w:tentative="0">
      <w:start w:val="1"/>
      <w:numFmt w:val="decimal"/>
      <w:lvlText w:val="%1."/>
      <w:lvlJc w:val="left"/>
      <w:pPr>
        <w:ind w:left="420"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7">
    <w:nsid w:val="245D33F6"/>
    <w:multiLevelType w:val="multilevel"/>
    <w:tmpl w:val="245D33F6"/>
    <w:lvl w:ilvl="0" w:tentative="0">
      <w:start w:val="1"/>
      <w:numFmt w:val="decimal"/>
      <w:lvlText w:val="%1."/>
      <w:lvlJc w:val="left"/>
      <w:pPr>
        <w:ind w:left="420"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8">
    <w:nsid w:val="293331D6"/>
    <w:multiLevelType w:val="multilevel"/>
    <w:tmpl w:val="293331D6"/>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2B53505A"/>
    <w:multiLevelType w:val="multilevel"/>
    <w:tmpl w:val="2B53505A"/>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20">
    <w:nsid w:val="2BF214A6"/>
    <w:multiLevelType w:val="multilevel"/>
    <w:tmpl w:val="2BF214A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2D583F3E"/>
    <w:multiLevelType w:val="multilevel"/>
    <w:tmpl w:val="2D583F3E"/>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22">
    <w:nsid w:val="31860CA3"/>
    <w:multiLevelType w:val="multilevel"/>
    <w:tmpl w:val="31860CA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31BE079D"/>
    <w:multiLevelType w:val="multilevel"/>
    <w:tmpl w:val="31BE079D"/>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4">
    <w:nsid w:val="38A124BA"/>
    <w:multiLevelType w:val="multilevel"/>
    <w:tmpl w:val="38A124BA"/>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38D0470B"/>
    <w:multiLevelType w:val="multilevel"/>
    <w:tmpl w:val="38D0470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42230AD6"/>
    <w:multiLevelType w:val="multilevel"/>
    <w:tmpl w:val="42230AD6"/>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7">
    <w:nsid w:val="430018B3"/>
    <w:multiLevelType w:val="multilevel"/>
    <w:tmpl w:val="430018B3"/>
    <w:lvl w:ilvl="0" w:tentative="0">
      <w:start w:val="1"/>
      <w:numFmt w:val="decimal"/>
      <w:lvlText w:val="%1."/>
      <w:lvlJc w:val="left"/>
      <w:pPr>
        <w:ind w:left="420"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28">
    <w:nsid w:val="44C04E05"/>
    <w:multiLevelType w:val="multilevel"/>
    <w:tmpl w:val="44C04E0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473A3959"/>
    <w:multiLevelType w:val="multilevel"/>
    <w:tmpl w:val="473A395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48831E8A"/>
    <w:multiLevelType w:val="multilevel"/>
    <w:tmpl w:val="48831E8A"/>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31">
    <w:nsid w:val="4AA847B6"/>
    <w:multiLevelType w:val="multilevel"/>
    <w:tmpl w:val="4AA847B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4ACD6261"/>
    <w:multiLevelType w:val="multilevel"/>
    <w:tmpl w:val="4ACD626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4D8C297A"/>
    <w:multiLevelType w:val="multilevel"/>
    <w:tmpl w:val="4D8C297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51B97952"/>
    <w:multiLevelType w:val="multilevel"/>
    <w:tmpl w:val="51B9795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51C81EF1"/>
    <w:multiLevelType w:val="multilevel"/>
    <w:tmpl w:val="51C81EF1"/>
    <w:lvl w:ilvl="0" w:tentative="0">
      <w:start w:val="1"/>
      <w:numFmt w:val="lowerLetter"/>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36">
    <w:nsid w:val="569D12D8"/>
    <w:multiLevelType w:val="multilevel"/>
    <w:tmpl w:val="569D12D8"/>
    <w:lvl w:ilvl="0" w:tentative="0">
      <w:start w:val="1"/>
      <w:numFmt w:val="japaneseCounting"/>
      <w:lvlText w:val="第%1条"/>
      <w:lvlJc w:val="left"/>
      <w:pPr>
        <w:ind w:left="1517" w:hanging="103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7">
    <w:nsid w:val="5CDA57F9"/>
    <w:multiLevelType w:val="multilevel"/>
    <w:tmpl w:val="5CDA57F9"/>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38">
    <w:nsid w:val="60B30096"/>
    <w:multiLevelType w:val="multilevel"/>
    <w:tmpl w:val="60B30096"/>
    <w:lvl w:ilvl="0" w:tentative="0">
      <w:start w:val="1"/>
      <w:numFmt w:val="japaneseCounting"/>
      <w:lvlText w:val="（%1）"/>
      <w:lvlJc w:val="left"/>
      <w:pPr>
        <w:ind w:left="765" w:hanging="7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61F70992"/>
    <w:multiLevelType w:val="multilevel"/>
    <w:tmpl w:val="61F709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65B803A6"/>
    <w:multiLevelType w:val="multilevel"/>
    <w:tmpl w:val="65B803A6"/>
    <w:lvl w:ilvl="0" w:tentative="0">
      <w:start w:val="1"/>
      <w:numFmt w:val="decimal"/>
      <w:suff w:val="nothing"/>
      <w:lvlText w:val="（%1）"/>
      <w:lvlJc w:val="left"/>
      <w:pPr>
        <w:ind w:left="510" w:hanging="510"/>
      </w:pPr>
      <w:rPr>
        <w:rFonts w:hint="default"/>
      </w:rPr>
    </w:lvl>
    <w:lvl w:ilvl="1" w:tentative="0">
      <w:start w:val="1"/>
      <w:numFmt w:val="lowerLetter"/>
      <w:lvlText w:val="%2)"/>
      <w:lvlJc w:val="left"/>
      <w:pPr>
        <w:ind w:left="654" w:hanging="420"/>
      </w:pPr>
    </w:lvl>
    <w:lvl w:ilvl="2" w:tentative="0">
      <w:start w:val="1"/>
      <w:numFmt w:val="lowerRoman"/>
      <w:lvlText w:val="%3."/>
      <w:lvlJc w:val="right"/>
      <w:pPr>
        <w:ind w:left="1074" w:hanging="420"/>
      </w:pPr>
    </w:lvl>
    <w:lvl w:ilvl="3" w:tentative="0">
      <w:start w:val="1"/>
      <w:numFmt w:val="decimal"/>
      <w:lvlText w:val="%4."/>
      <w:lvlJc w:val="left"/>
      <w:pPr>
        <w:ind w:left="1494" w:hanging="420"/>
      </w:pPr>
    </w:lvl>
    <w:lvl w:ilvl="4" w:tentative="0">
      <w:start w:val="1"/>
      <w:numFmt w:val="lowerLetter"/>
      <w:lvlText w:val="%5)"/>
      <w:lvlJc w:val="left"/>
      <w:pPr>
        <w:ind w:left="1914" w:hanging="420"/>
      </w:pPr>
    </w:lvl>
    <w:lvl w:ilvl="5" w:tentative="0">
      <w:start w:val="1"/>
      <w:numFmt w:val="lowerRoman"/>
      <w:lvlText w:val="%6."/>
      <w:lvlJc w:val="right"/>
      <w:pPr>
        <w:ind w:left="2334" w:hanging="420"/>
      </w:pPr>
    </w:lvl>
    <w:lvl w:ilvl="6" w:tentative="0">
      <w:start w:val="1"/>
      <w:numFmt w:val="decimal"/>
      <w:lvlText w:val="%7."/>
      <w:lvlJc w:val="left"/>
      <w:pPr>
        <w:ind w:left="2754" w:hanging="420"/>
      </w:pPr>
    </w:lvl>
    <w:lvl w:ilvl="7" w:tentative="0">
      <w:start w:val="1"/>
      <w:numFmt w:val="lowerLetter"/>
      <w:lvlText w:val="%8)"/>
      <w:lvlJc w:val="left"/>
      <w:pPr>
        <w:ind w:left="3174" w:hanging="420"/>
      </w:pPr>
    </w:lvl>
    <w:lvl w:ilvl="8" w:tentative="0">
      <w:start w:val="1"/>
      <w:numFmt w:val="lowerRoman"/>
      <w:lvlText w:val="%9."/>
      <w:lvlJc w:val="right"/>
      <w:pPr>
        <w:ind w:left="3594" w:hanging="420"/>
      </w:pPr>
    </w:lvl>
  </w:abstractNum>
  <w:abstractNum w:abstractNumId="41">
    <w:nsid w:val="6ED416AE"/>
    <w:multiLevelType w:val="multilevel"/>
    <w:tmpl w:val="6ED416AE"/>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75284E20"/>
    <w:multiLevelType w:val="multilevel"/>
    <w:tmpl w:val="75284E20"/>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0"/>
  </w:num>
  <w:num w:numId="2">
    <w:abstractNumId w:val="36"/>
  </w:num>
  <w:num w:numId="3">
    <w:abstractNumId w:val="27"/>
  </w:num>
  <w:num w:numId="4">
    <w:abstractNumId w:val="0"/>
  </w:num>
  <w:num w:numId="5">
    <w:abstractNumId w:val="18"/>
  </w:num>
  <w:num w:numId="6">
    <w:abstractNumId w:val="17"/>
  </w:num>
  <w:num w:numId="7">
    <w:abstractNumId w:val="40"/>
  </w:num>
  <w:num w:numId="8">
    <w:abstractNumId w:val="19"/>
  </w:num>
  <w:num w:numId="9">
    <w:abstractNumId w:val="2"/>
  </w:num>
  <w:num w:numId="10">
    <w:abstractNumId w:val="5"/>
  </w:num>
  <w:num w:numId="11">
    <w:abstractNumId w:val="37"/>
  </w:num>
  <w:num w:numId="12">
    <w:abstractNumId w:val="1"/>
  </w:num>
  <w:num w:numId="13">
    <w:abstractNumId w:val="13"/>
  </w:num>
  <w:num w:numId="14">
    <w:abstractNumId w:val="22"/>
  </w:num>
  <w:num w:numId="15">
    <w:abstractNumId w:val="8"/>
  </w:num>
  <w:num w:numId="16">
    <w:abstractNumId w:val="38"/>
  </w:num>
  <w:num w:numId="17">
    <w:abstractNumId w:val="29"/>
  </w:num>
  <w:num w:numId="18">
    <w:abstractNumId w:val="15"/>
  </w:num>
  <w:num w:numId="19">
    <w:abstractNumId w:val="9"/>
  </w:num>
  <w:num w:numId="20">
    <w:abstractNumId w:val="31"/>
  </w:num>
  <w:num w:numId="21">
    <w:abstractNumId w:val="39"/>
  </w:num>
  <w:num w:numId="22">
    <w:abstractNumId w:val="10"/>
  </w:num>
  <w:num w:numId="23">
    <w:abstractNumId w:val="25"/>
  </w:num>
  <w:num w:numId="24">
    <w:abstractNumId w:val="28"/>
  </w:num>
  <w:num w:numId="25">
    <w:abstractNumId w:val="3"/>
  </w:num>
  <w:num w:numId="26">
    <w:abstractNumId w:val="7"/>
  </w:num>
  <w:num w:numId="27">
    <w:abstractNumId w:val="41"/>
  </w:num>
  <w:num w:numId="28">
    <w:abstractNumId w:val="14"/>
  </w:num>
  <w:num w:numId="29">
    <w:abstractNumId w:val="11"/>
  </w:num>
  <w:num w:numId="30">
    <w:abstractNumId w:val="26"/>
  </w:num>
  <w:num w:numId="31">
    <w:abstractNumId w:val="35"/>
  </w:num>
  <w:num w:numId="32">
    <w:abstractNumId w:val="23"/>
  </w:num>
  <w:num w:numId="33">
    <w:abstractNumId w:val="12"/>
  </w:num>
  <w:num w:numId="34">
    <w:abstractNumId w:val="32"/>
  </w:num>
  <w:num w:numId="35">
    <w:abstractNumId w:val="24"/>
  </w:num>
  <w:num w:numId="36">
    <w:abstractNumId w:val="4"/>
  </w:num>
  <w:num w:numId="37">
    <w:abstractNumId w:val="21"/>
  </w:num>
  <w:num w:numId="38">
    <w:abstractNumId w:val="33"/>
  </w:num>
  <w:num w:numId="39">
    <w:abstractNumId w:val="30"/>
  </w:num>
  <w:num w:numId="40">
    <w:abstractNumId w:val="42"/>
  </w:num>
  <w:num w:numId="41">
    <w:abstractNumId w:val="34"/>
  </w:num>
  <w:num w:numId="42">
    <w:abstractNumId w:val="16"/>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AES" w:cryptAlgorithmClass="hash" w:cryptAlgorithmType="typeAny" w:cryptAlgorithmSid="14" w:cryptSpinCount="100000" w:hash="imgyNhCp+yBlpq1uDgkDawId5qzpvFijitQqM7j5Ea68nFBhwUhRCwzkgLQ9HJIXzRm9AO8fQpM8p4+0+vQsRw==" w:salt="mLDBS72trK16N/CzI1pwO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77"/>
    <w:rsid w:val="000009C4"/>
    <w:rsid w:val="00003648"/>
    <w:rsid w:val="00003E46"/>
    <w:rsid w:val="00004986"/>
    <w:rsid w:val="00004D7B"/>
    <w:rsid w:val="000059BB"/>
    <w:rsid w:val="00005CBA"/>
    <w:rsid w:val="00006B69"/>
    <w:rsid w:val="00016E38"/>
    <w:rsid w:val="00020108"/>
    <w:rsid w:val="00030136"/>
    <w:rsid w:val="00030921"/>
    <w:rsid w:val="000313A0"/>
    <w:rsid w:val="0003280A"/>
    <w:rsid w:val="00033BD8"/>
    <w:rsid w:val="00033E27"/>
    <w:rsid w:val="00035207"/>
    <w:rsid w:val="00040309"/>
    <w:rsid w:val="00045F85"/>
    <w:rsid w:val="00051EA3"/>
    <w:rsid w:val="000544E4"/>
    <w:rsid w:val="00056C69"/>
    <w:rsid w:val="00057FC3"/>
    <w:rsid w:val="00060C10"/>
    <w:rsid w:val="00064DD2"/>
    <w:rsid w:val="00066043"/>
    <w:rsid w:val="00073426"/>
    <w:rsid w:val="000737F0"/>
    <w:rsid w:val="00074313"/>
    <w:rsid w:val="000743BE"/>
    <w:rsid w:val="0007490D"/>
    <w:rsid w:val="00080FC5"/>
    <w:rsid w:val="000838BA"/>
    <w:rsid w:val="000840F0"/>
    <w:rsid w:val="00084210"/>
    <w:rsid w:val="00084833"/>
    <w:rsid w:val="000849D2"/>
    <w:rsid w:val="00087720"/>
    <w:rsid w:val="00092E8D"/>
    <w:rsid w:val="00094D2E"/>
    <w:rsid w:val="00095199"/>
    <w:rsid w:val="000A2372"/>
    <w:rsid w:val="000A49E4"/>
    <w:rsid w:val="000A5939"/>
    <w:rsid w:val="000B0C09"/>
    <w:rsid w:val="000B7AD6"/>
    <w:rsid w:val="000C333C"/>
    <w:rsid w:val="000C37E0"/>
    <w:rsid w:val="000C5EC6"/>
    <w:rsid w:val="000C7787"/>
    <w:rsid w:val="000E12DF"/>
    <w:rsid w:val="000E3533"/>
    <w:rsid w:val="000E682A"/>
    <w:rsid w:val="000E68D3"/>
    <w:rsid w:val="000F049C"/>
    <w:rsid w:val="000F1180"/>
    <w:rsid w:val="000F20C5"/>
    <w:rsid w:val="000F2F97"/>
    <w:rsid w:val="000F3BBE"/>
    <w:rsid w:val="000F43D0"/>
    <w:rsid w:val="000F4DD6"/>
    <w:rsid w:val="000F537A"/>
    <w:rsid w:val="000F6019"/>
    <w:rsid w:val="0010265B"/>
    <w:rsid w:val="00104A05"/>
    <w:rsid w:val="001060CD"/>
    <w:rsid w:val="001061D2"/>
    <w:rsid w:val="00110516"/>
    <w:rsid w:val="00110FED"/>
    <w:rsid w:val="00115169"/>
    <w:rsid w:val="00116FEA"/>
    <w:rsid w:val="00120680"/>
    <w:rsid w:val="001221F7"/>
    <w:rsid w:val="0012230A"/>
    <w:rsid w:val="0012760A"/>
    <w:rsid w:val="0013095A"/>
    <w:rsid w:val="00131D8D"/>
    <w:rsid w:val="00137130"/>
    <w:rsid w:val="001406AF"/>
    <w:rsid w:val="00141425"/>
    <w:rsid w:val="00142C5B"/>
    <w:rsid w:val="00144DC4"/>
    <w:rsid w:val="00144E84"/>
    <w:rsid w:val="0014563D"/>
    <w:rsid w:val="00150328"/>
    <w:rsid w:val="001617F1"/>
    <w:rsid w:val="001631B3"/>
    <w:rsid w:val="00163728"/>
    <w:rsid w:val="00163A47"/>
    <w:rsid w:val="001649E5"/>
    <w:rsid w:val="00165540"/>
    <w:rsid w:val="001657C2"/>
    <w:rsid w:val="001721B3"/>
    <w:rsid w:val="00173A85"/>
    <w:rsid w:val="00180ACA"/>
    <w:rsid w:val="00181DE1"/>
    <w:rsid w:val="00181E3D"/>
    <w:rsid w:val="0018370F"/>
    <w:rsid w:val="00185EF1"/>
    <w:rsid w:val="00193E6F"/>
    <w:rsid w:val="001A1622"/>
    <w:rsid w:val="001A58A0"/>
    <w:rsid w:val="001A58E3"/>
    <w:rsid w:val="001B1EA3"/>
    <w:rsid w:val="001B368C"/>
    <w:rsid w:val="001B6A40"/>
    <w:rsid w:val="001B76FC"/>
    <w:rsid w:val="001B7CA1"/>
    <w:rsid w:val="001C1FC7"/>
    <w:rsid w:val="001C4BE0"/>
    <w:rsid w:val="001C58C3"/>
    <w:rsid w:val="001D0166"/>
    <w:rsid w:val="001D13B6"/>
    <w:rsid w:val="001D1F71"/>
    <w:rsid w:val="001D227A"/>
    <w:rsid w:val="001D4FDB"/>
    <w:rsid w:val="001D5647"/>
    <w:rsid w:val="001E2193"/>
    <w:rsid w:val="001E6D52"/>
    <w:rsid w:val="001F0261"/>
    <w:rsid w:val="001F2BA1"/>
    <w:rsid w:val="001F3410"/>
    <w:rsid w:val="001F5440"/>
    <w:rsid w:val="001F5985"/>
    <w:rsid w:val="00204C43"/>
    <w:rsid w:val="00206832"/>
    <w:rsid w:val="00206EB3"/>
    <w:rsid w:val="00221003"/>
    <w:rsid w:val="00221BC2"/>
    <w:rsid w:val="0022259B"/>
    <w:rsid w:val="002242C5"/>
    <w:rsid w:val="00234F87"/>
    <w:rsid w:val="00237F1D"/>
    <w:rsid w:val="00242941"/>
    <w:rsid w:val="0024629F"/>
    <w:rsid w:val="00247C86"/>
    <w:rsid w:val="0025044F"/>
    <w:rsid w:val="00250EFD"/>
    <w:rsid w:val="00252347"/>
    <w:rsid w:val="00254212"/>
    <w:rsid w:val="002549E6"/>
    <w:rsid w:val="002560FA"/>
    <w:rsid w:val="00260522"/>
    <w:rsid w:val="00263170"/>
    <w:rsid w:val="00267206"/>
    <w:rsid w:val="00271BF0"/>
    <w:rsid w:val="00277F15"/>
    <w:rsid w:val="002805EF"/>
    <w:rsid w:val="00282E34"/>
    <w:rsid w:val="00283594"/>
    <w:rsid w:val="0028367A"/>
    <w:rsid w:val="002841F2"/>
    <w:rsid w:val="0028579C"/>
    <w:rsid w:val="00285C75"/>
    <w:rsid w:val="00294581"/>
    <w:rsid w:val="0029754F"/>
    <w:rsid w:val="00297DDA"/>
    <w:rsid w:val="002A5209"/>
    <w:rsid w:val="002A6597"/>
    <w:rsid w:val="002A68CC"/>
    <w:rsid w:val="002A6953"/>
    <w:rsid w:val="002B4104"/>
    <w:rsid w:val="002B5673"/>
    <w:rsid w:val="002B72A9"/>
    <w:rsid w:val="002B7C6F"/>
    <w:rsid w:val="002B7FBA"/>
    <w:rsid w:val="002C0642"/>
    <w:rsid w:val="002C12B7"/>
    <w:rsid w:val="002C283D"/>
    <w:rsid w:val="002C7554"/>
    <w:rsid w:val="002D038F"/>
    <w:rsid w:val="002D0E34"/>
    <w:rsid w:val="002D453F"/>
    <w:rsid w:val="002D57AB"/>
    <w:rsid w:val="002E59B5"/>
    <w:rsid w:val="002E75B7"/>
    <w:rsid w:val="002F1879"/>
    <w:rsid w:val="00301445"/>
    <w:rsid w:val="00301C61"/>
    <w:rsid w:val="00301C9C"/>
    <w:rsid w:val="00302E78"/>
    <w:rsid w:val="00303B6E"/>
    <w:rsid w:val="00303D09"/>
    <w:rsid w:val="003042DF"/>
    <w:rsid w:val="003055FF"/>
    <w:rsid w:val="00316F3E"/>
    <w:rsid w:val="0032247F"/>
    <w:rsid w:val="0032739B"/>
    <w:rsid w:val="0033081C"/>
    <w:rsid w:val="003311B5"/>
    <w:rsid w:val="003314DD"/>
    <w:rsid w:val="00333059"/>
    <w:rsid w:val="003352AC"/>
    <w:rsid w:val="00341813"/>
    <w:rsid w:val="00341A1A"/>
    <w:rsid w:val="00344592"/>
    <w:rsid w:val="0035151E"/>
    <w:rsid w:val="00355D2C"/>
    <w:rsid w:val="00363A35"/>
    <w:rsid w:val="0036456F"/>
    <w:rsid w:val="00364B4E"/>
    <w:rsid w:val="003705F6"/>
    <w:rsid w:val="00373409"/>
    <w:rsid w:val="00375740"/>
    <w:rsid w:val="00376A0D"/>
    <w:rsid w:val="00380850"/>
    <w:rsid w:val="00381D4F"/>
    <w:rsid w:val="00384429"/>
    <w:rsid w:val="003844BD"/>
    <w:rsid w:val="0038628D"/>
    <w:rsid w:val="0038681B"/>
    <w:rsid w:val="003A28C9"/>
    <w:rsid w:val="003A4EB4"/>
    <w:rsid w:val="003A5271"/>
    <w:rsid w:val="003A7FB6"/>
    <w:rsid w:val="003B376D"/>
    <w:rsid w:val="003C30BA"/>
    <w:rsid w:val="003C46B4"/>
    <w:rsid w:val="003C7198"/>
    <w:rsid w:val="003D197B"/>
    <w:rsid w:val="003D3ACD"/>
    <w:rsid w:val="003E2DED"/>
    <w:rsid w:val="003E38B7"/>
    <w:rsid w:val="003E73F9"/>
    <w:rsid w:val="003E7BD8"/>
    <w:rsid w:val="003F027F"/>
    <w:rsid w:val="003F0379"/>
    <w:rsid w:val="003F0DD5"/>
    <w:rsid w:val="003F1817"/>
    <w:rsid w:val="003F1EE9"/>
    <w:rsid w:val="003F54A9"/>
    <w:rsid w:val="003F61B2"/>
    <w:rsid w:val="00401049"/>
    <w:rsid w:val="00402212"/>
    <w:rsid w:val="00404B39"/>
    <w:rsid w:val="0040586C"/>
    <w:rsid w:val="00406D15"/>
    <w:rsid w:val="00407503"/>
    <w:rsid w:val="00407643"/>
    <w:rsid w:val="00414D2E"/>
    <w:rsid w:val="00415D9E"/>
    <w:rsid w:val="00420564"/>
    <w:rsid w:val="0042140E"/>
    <w:rsid w:val="00424D00"/>
    <w:rsid w:val="00425752"/>
    <w:rsid w:val="004306B3"/>
    <w:rsid w:val="004310C5"/>
    <w:rsid w:val="00432517"/>
    <w:rsid w:val="00435049"/>
    <w:rsid w:val="004352BF"/>
    <w:rsid w:val="00441119"/>
    <w:rsid w:val="00446AC3"/>
    <w:rsid w:val="00453AE1"/>
    <w:rsid w:val="00453C36"/>
    <w:rsid w:val="00456BAE"/>
    <w:rsid w:val="00457BBF"/>
    <w:rsid w:val="00460DBD"/>
    <w:rsid w:val="004612B7"/>
    <w:rsid w:val="00463B40"/>
    <w:rsid w:val="004652FC"/>
    <w:rsid w:val="004737A0"/>
    <w:rsid w:val="00474B90"/>
    <w:rsid w:val="0047530E"/>
    <w:rsid w:val="00480781"/>
    <w:rsid w:val="00481612"/>
    <w:rsid w:val="0048214C"/>
    <w:rsid w:val="00482E22"/>
    <w:rsid w:val="00483FF1"/>
    <w:rsid w:val="004905F6"/>
    <w:rsid w:val="004910B1"/>
    <w:rsid w:val="0049478B"/>
    <w:rsid w:val="00495E0E"/>
    <w:rsid w:val="004B0DE4"/>
    <w:rsid w:val="004B3E7B"/>
    <w:rsid w:val="004B6000"/>
    <w:rsid w:val="004C2214"/>
    <w:rsid w:val="004C275B"/>
    <w:rsid w:val="004C3835"/>
    <w:rsid w:val="004C53AC"/>
    <w:rsid w:val="004C5F38"/>
    <w:rsid w:val="004C6643"/>
    <w:rsid w:val="004C7441"/>
    <w:rsid w:val="004C76DF"/>
    <w:rsid w:val="004D3B9A"/>
    <w:rsid w:val="004D54DE"/>
    <w:rsid w:val="004D7D7E"/>
    <w:rsid w:val="004E3713"/>
    <w:rsid w:val="004E4DE5"/>
    <w:rsid w:val="004F10E2"/>
    <w:rsid w:val="004F2C77"/>
    <w:rsid w:val="005021B2"/>
    <w:rsid w:val="005079C5"/>
    <w:rsid w:val="00514738"/>
    <w:rsid w:val="00523973"/>
    <w:rsid w:val="00523BA6"/>
    <w:rsid w:val="0052757D"/>
    <w:rsid w:val="005322C0"/>
    <w:rsid w:val="00534DA2"/>
    <w:rsid w:val="00535F3E"/>
    <w:rsid w:val="0053738A"/>
    <w:rsid w:val="00546994"/>
    <w:rsid w:val="005472E3"/>
    <w:rsid w:val="00550151"/>
    <w:rsid w:val="00554478"/>
    <w:rsid w:val="00561680"/>
    <w:rsid w:val="005628CB"/>
    <w:rsid w:val="005633E0"/>
    <w:rsid w:val="00563618"/>
    <w:rsid w:val="0056670E"/>
    <w:rsid w:val="005677EB"/>
    <w:rsid w:val="005719DD"/>
    <w:rsid w:val="00574021"/>
    <w:rsid w:val="0057446B"/>
    <w:rsid w:val="005751FE"/>
    <w:rsid w:val="005843D2"/>
    <w:rsid w:val="00586D4B"/>
    <w:rsid w:val="0059360A"/>
    <w:rsid w:val="005A1F3C"/>
    <w:rsid w:val="005A314A"/>
    <w:rsid w:val="005A58CD"/>
    <w:rsid w:val="005A5CE4"/>
    <w:rsid w:val="005B612D"/>
    <w:rsid w:val="005C0ED2"/>
    <w:rsid w:val="005C26E1"/>
    <w:rsid w:val="005D1B01"/>
    <w:rsid w:val="005D33D2"/>
    <w:rsid w:val="005D44BF"/>
    <w:rsid w:val="005E14BA"/>
    <w:rsid w:val="005E33C8"/>
    <w:rsid w:val="005E4A8B"/>
    <w:rsid w:val="005F1CFD"/>
    <w:rsid w:val="005F4611"/>
    <w:rsid w:val="00600761"/>
    <w:rsid w:val="006016F9"/>
    <w:rsid w:val="00602549"/>
    <w:rsid w:val="00602809"/>
    <w:rsid w:val="00602A95"/>
    <w:rsid w:val="00603756"/>
    <w:rsid w:val="00603946"/>
    <w:rsid w:val="00604E1E"/>
    <w:rsid w:val="00607D16"/>
    <w:rsid w:val="00613FDC"/>
    <w:rsid w:val="00614D44"/>
    <w:rsid w:val="0061509E"/>
    <w:rsid w:val="00616811"/>
    <w:rsid w:val="00620386"/>
    <w:rsid w:val="00621BAC"/>
    <w:rsid w:val="00627969"/>
    <w:rsid w:val="00630DCB"/>
    <w:rsid w:val="00631CDE"/>
    <w:rsid w:val="00634DAB"/>
    <w:rsid w:val="00635E1F"/>
    <w:rsid w:val="0063776C"/>
    <w:rsid w:val="006439F5"/>
    <w:rsid w:val="00645C98"/>
    <w:rsid w:val="00645F67"/>
    <w:rsid w:val="0065244E"/>
    <w:rsid w:val="00653F14"/>
    <w:rsid w:val="00655D39"/>
    <w:rsid w:val="00664E5C"/>
    <w:rsid w:val="006664AB"/>
    <w:rsid w:val="00667872"/>
    <w:rsid w:val="00672B47"/>
    <w:rsid w:val="006732FB"/>
    <w:rsid w:val="00674D7B"/>
    <w:rsid w:val="00676B42"/>
    <w:rsid w:val="0067785C"/>
    <w:rsid w:val="00681A99"/>
    <w:rsid w:val="00682D9A"/>
    <w:rsid w:val="0068366E"/>
    <w:rsid w:val="00683ACA"/>
    <w:rsid w:val="006875FD"/>
    <w:rsid w:val="006A2ECD"/>
    <w:rsid w:val="006A41CF"/>
    <w:rsid w:val="006A57CF"/>
    <w:rsid w:val="006B5336"/>
    <w:rsid w:val="006B5ED0"/>
    <w:rsid w:val="006B7928"/>
    <w:rsid w:val="006C3EA7"/>
    <w:rsid w:val="006C4DE8"/>
    <w:rsid w:val="006D1B01"/>
    <w:rsid w:val="006D32D2"/>
    <w:rsid w:val="006D450B"/>
    <w:rsid w:val="006D71B9"/>
    <w:rsid w:val="006E1184"/>
    <w:rsid w:val="006E13FF"/>
    <w:rsid w:val="006E142A"/>
    <w:rsid w:val="006E74A9"/>
    <w:rsid w:val="006E7EBC"/>
    <w:rsid w:val="006F0DA8"/>
    <w:rsid w:val="006F359A"/>
    <w:rsid w:val="006F3F98"/>
    <w:rsid w:val="006F40C8"/>
    <w:rsid w:val="006F5B1A"/>
    <w:rsid w:val="0070185C"/>
    <w:rsid w:val="00702172"/>
    <w:rsid w:val="0070254A"/>
    <w:rsid w:val="00702F40"/>
    <w:rsid w:val="0070370A"/>
    <w:rsid w:val="007109CE"/>
    <w:rsid w:val="00713694"/>
    <w:rsid w:val="007152C2"/>
    <w:rsid w:val="00716022"/>
    <w:rsid w:val="007171E6"/>
    <w:rsid w:val="00721236"/>
    <w:rsid w:val="0072298E"/>
    <w:rsid w:val="00724A7A"/>
    <w:rsid w:val="00724A7D"/>
    <w:rsid w:val="00727233"/>
    <w:rsid w:val="00732225"/>
    <w:rsid w:val="00732430"/>
    <w:rsid w:val="00733720"/>
    <w:rsid w:val="007422B0"/>
    <w:rsid w:val="00743D67"/>
    <w:rsid w:val="0074433D"/>
    <w:rsid w:val="007451D4"/>
    <w:rsid w:val="00745FD4"/>
    <w:rsid w:val="00746B77"/>
    <w:rsid w:val="00746EDA"/>
    <w:rsid w:val="00750B2F"/>
    <w:rsid w:val="00751E36"/>
    <w:rsid w:val="007551F5"/>
    <w:rsid w:val="007607C8"/>
    <w:rsid w:val="00760D5C"/>
    <w:rsid w:val="00762CAE"/>
    <w:rsid w:val="007648BC"/>
    <w:rsid w:val="007671A1"/>
    <w:rsid w:val="00767BED"/>
    <w:rsid w:val="00776616"/>
    <w:rsid w:val="00781D84"/>
    <w:rsid w:val="007844F0"/>
    <w:rsid w:val="00790E06"/>
    <w:rsid w:val="007A012A"/>
    <w:rsid w:val="007A15D4"/>
    <w:rsid w:val="007A1ABA"/>
    <w:rsid w:val="007A7A8F"/>
    <w:rsid w:val="007B2F76"/>
    <w:rsid w:val="007B4C28"/>
    <w:rsid w:val="007B56A4"/>
    <w:rsid w:val="007B5A7A"/>
    <w:rsid w:val="007B6916"/>
    <w:rsid w:val="007B7964"/>
    <w:rsid w:val="007C113C"/>
    <w:rsid w:val="007C5101"/>
    <w:rsid w:val="007C650F"/>
    <w:rsid w:val="007D0454"/>
    <w:rsid w:val="007D1521"/>
    <w:rsid w:val="007D3BEE"/>
    <w:rsid w:val="007D3CF4"/>
    <w:rsid w:val="007E1574"/>
    <w:rsid w:val="007E1817"/>
    <w:rsid w:val="007E1C05"/>
    <w:rsid w:val="007E5206"/>
    <w:rsid w:val="007E7CC0"/>
    <w:rsid w:val="007F132C"/>
    <w:rsid w:val="007F4DDB"/>
    <w:rsid w:val="007F5EDC"/>
    <w:rsid w:val="007F6743"/>
    <w:rsid w:val="00804AEE"/>
    <w:rsid w:val="00805FE2"/>
    <w:rsid w:val="00806F0B"/>
    <w:rsid w:val="00807FDF"/>
    <w:rsid w:val="00813BE3"/>
    <w:rsid w:val="00813DC7"/>
    <w:rsid w:val="00814BE6"/>
    <w:rsid w:val="00815935"/>
    <w:rsid w:val="00816C38"/>
    <w:rsid w:val="00816F45"/>
    <w:rsid w:val="00817019"/>
    <w:rsid w:val="008232AD"/>
    <w:rsid w:val="00825D20"/>
    <w:rsid w:val="00831A05"/>
    <w:rsid w:val="0083276D"/>
    <w:rsid w:val="00840358"/>
    <w:rsid w:val="00840364"/>
    <w:rsid w:val="0084284A"/>
    <w:rsid w:val="008454C9"/>
    <w:rsid w:val="00852CD3"/>
    <w:rsid w:val="008548CE"/>
    <w:rsid w:val="00863CDD"/>
    <w:rsid w:val="00864587"/>
    <w:rsid w:val="00865719"/>
    <w:rsid w:val="008722FE"/>
    <w:rsid w:val="00874760"/>
    <w:rsid w:val="00874A1B"/>
    <w:rsid w:val="00875862"/>
    <w:rsid w:val="00875BB2"/>
    <w:rsid w:val="008828C4"/>
    <w:rsid w:val="00883D11"/>
    <w:rsid w:val="00884E7C"/>
    <w:rsid w:val="0088529C"/>
    <w:rsid w:val="008873F6"/>
    <w:rsid w:val="00887A4D"/>
    <w:rsid w:val="00891410"/>
    <w:rsid w:val="008A10DB"/>
    <w:rsid w:val="008A1676"/>
    <w:rsid w:val="008A6AD6"/>
    <w:rsid w:val="008B0244"/>
    <w:rsid w:val="008B65CE"/>
    <w:rsid w:val="008C5302"/>
    <w:rsid w:val="008C5B6B"/>
    <w:rsid w:val="008D157F"/>
    <w:rsid w:val="008D4BE0"/>
    <w:rsid w:val="008D5B9D"/>
    <w:rsid w:val="008E4087"/>
    <w:rsid w:val="008E5C5F"/>
    <w:rsid w:val="008E7195"/>
    <w:rsid w:val="008F1291"/>
    <w:rsid w:val="008F16C7"/>
    <w:rsid w:val="008F23B8"/>
    <w:rsid w:val="008F57B9"/>
    <w:rsid w:val="008F5F72"/>
    <w:rsid w:val="009001C5"/>
    <w:rsid w:val="00903B53"/>
    <w:rsid w:val="00905517"/>
    <w:rsid w:val="00907278"/>
    <w:rsid w:val="0091776B"/>
    <w:rsid w:val="00920042"/>
    <w:rsid w:val="009223C4"/>
    <w:rsid w:val="00926602"/>
    <w:rsid w:val="00933E4B"/>
    <w:rsid w:val="009372FC"/>
    <w:rsid w:val="00937E32"/>
    <w:rsid w:val="00941FE6"/>
    <w:rsid w:val="0094210F"/>
    <w:rsid w:val="009503C1"/>
    <w:rsid w:val="009518F0"/>
    <w:rsid w:val="0095210C"/>
    <w:rsid w:val="00956490"/>
    <w:rsid w:val="00961E05"/>
    <w:rsid w:val="0096228A"/>
    <w:rsid w:val="00964713"/>
    <w:rsid w:val="0096495B"/>
    <w:rsid w:val="00965A0C"/>
    <w:rsid w:val="00973145"/>
    <w:rsid w:val="009736DC"/>
    <w:rsid w:val="00975B4A"/>
    <w:rsid w:val="009763AF"/>
    <w:rsid w:val="00976D4C"/>
    <w:rsid w:val="00981F91"/>
    <w:rsid w:val="00990133"/>
    <w:rsid w:val="0099046A"/>
    <w:rsid w:val="00992E10"/>
    <w:rsid w:val="00994A7C"/>
    <w:rsid w:val="00994A9C"/>
    <w:rsid w:val="00995E3C"/>
    <w:rsid w:val="00997003"/>
    <w:rsid w:val="009976A6"/>
    <w:rsid w:val="00997A4E"/>
    <w:rsid w:val="00997D48"/>
    <w:rsid w:val="009A4D05"/>
    <w:rsid w:val="009A7A51"/>
    <w:rsid w:val="009B0C3B"/>
    <w:rsid w:val="009B6107"/>
    <w:rsid w:val="009C094F"/>
    <w:rsid w:val="009C326A"/>
    <w:rsid w:val="009C68D3"/>
    <w:rsid w:val="009C7B0A"/>
    <w:rsid w:val="009D09AD"/>
    <w:rsid w:val="009E1501"/>
    <w:rsid w:val="009E4255"/>
    <w:rsid w:val="009E4D13"/>
    <w:rsid w:val="009E548E"/>
    <w:rsid w:val="009E5CB7"/>
    <w:rsid w:val="009F1153"/>
    <w:rsid w:val="009F3EBC"/>
    <w:rsid w:val="009F6A7C"/>
    <w:rsid w:val="00A0020E"/>
    <w:rsid w:val="00A00418"/>
    <w:rsid w:val="00A00BA5"/>
    <w:rsid w:val="00A03688"/>
    <w:rsid w:val="00A05E3F"/>
    <w:rsid w:val="00A06A4B"/>
    <w:rsid w:val="00A06DE9"/>
    <w:rsid w:val="00A077A1"/>
    <w:rsid w:val="00A23756"/>
    <w:rsid w:val="00A300F3"/>
    <w:rsid w:val="00A31091"/>
    <w:rsid w:val="00A31161"/>
    <w:rsid w:val="00A3262A"/>
    <w:rsid w:val="00A33C80"/>
    <w:rsid w:val="00A34C61"/>
    <w:rsid w:val="00A3523A"/>
    <w:rsid w:val="00A3678D"/>
    <w:rsid w:val="00A36A80"/>
    <w:rsid w:val="00A37C80"/>
    <w:rsid w:val="00A45050"/>
    <w:rsid w:val="00A47B52"/>
    <w:rsid w:val="00A47C03"/>
    <w:rsid w:val="00A50D57"/>
    <w:rsid w:val="00A52E49"/>
    <w:rsid w:val="00A532C3"/>
    <w:rsid w:val="00A61F79"/>
    <w:rsid w:val="00A64283"/>
    <w:rsid w:val="00A67798"/>
    <w:rsid w:val="00A752B7"/>
    <w:rsid w:val="00A76212"/>
    <w:rsid w:val="00A86658"/>
    <w:rsid w:val="00A86A56"/>
    <w:rsid w:val="00A86C63"/>
    <w:rsid w:val="00A86D56"/>
    <w:rsid w:val="00A878B8"/>
    <w:rsid w:val="00A91166"/>
    <w:rsid w:val="00A9339A"/>
    <w:rsid w:val="00A95AB4"/>
    <w:rsid w:val="00AA22F7"/>
    <w:rsid w:val="00AA40DE"/>
    <w:rsid w:val="00AA4CDD"/>
    <w:rsid w:val="00AA6AAB"/>
    <w:rsid w:val="00AB1A65"/>
    <w:rsid w:val="00AB4231"/>
    <w:rsid w:val="00AC02D6"/>
    <w:rsid w:val="00AC374C"/>
    <w:rsid w:val="00AC4956"/>
    <w:rsid w:val="00AC72D3"/>
    <w:rsid w:val="00AD2324"/>
    <w:rsid w:val="00AD2643"/>
    <w:rsid w:val="00AD3C21"/>
    <w:rsid w:val="00AD4498"/>
    <w:rsid w:val="00AD4948"/>
    <w:rsid w:val="00AD6D94"/>
    <w:rsid w:val="00AE4011"/>
    <w:rsid w:val="00AE43D7"/>
    <w:rsid w:val="00AE472C"/>
    <w:rsid w:val="00AE4D83"/>
    <w:rsid w:val="00AE5A6F"/>
    <w:rsid w:val="00AE6026"/>
    <w:rsid w:val="00AF5497"/>
    <w:rsid w:val="00B0412D"/>
    <w:rsid w:val="00B04299"/>
    <w:rsid w:val="00B0465D"/>
    <w:rsid w:val="00B06E03"/>
    <w:rsid w:val="00B076C7"/>
    <w:rsid w:val="00B11232"/>
    <w:rsid w:val="00B17FEF"/>
    <w:rsid w:val="00B202F4"/>
    <w:rsid w:val="00B21C45"/>
    <w:rsid w:val="00B30D59"/>
    <w:rsid w:val="00B348A6"/>
    <w:rsid w:val="00B34F4D"/>
    <w:rsid w:val="00B37273"/>
    <w:rsid w:val="00B43965"/>
    <w:rsid w:val="00B46746"/>
    <w:rsid w:val="00B52EA7"/>
    <w:rsid w:val="00B532CB"/>
    <w:rsid w:val="00B5501B"/>
    <w:rsid w:val="00B559A2"/>
    <w:rsid w:val="00B57A13"/>
    <w:rsid w:val="00B6050A"/>
    <w:rsid w:val="00B60BC7"/>
    <w:rsid w:val="00B63322"/>
    <w:rsid w:val="00B6493F"/>
    <w:rsid w:val="00B65A32"/>
    <w:rsid w:val="00B67018"/>
    <w:rsid w:val="00B7191A"/>
    <w:rsid w:val="00B7275D"/>
    <w:rsid w:val="00B74310"/>
    <w:rsid w:val="00B74B3F"/>
    <w:rsid w:val="00B758E4"/>
    <w:rsid w:val="00B8043C"/>
    <w:rsid w:val="00B80706"/>
    <w:rsid w:val="00B8445C"/>
    <w:rsid w:val="00B86E79"/>
    <w:rsid w:val="00B903E7"/>
    <w:rsid w:val="00B907D5"/>
    <w:rsid w:val="00B91183"/>
    <w:rsid w:val="00B912C1"/>
    <w:rsid w:val="00B92DA2"/>
    <w:rsid w:val="00B9331F"/>
    <w:rsid w:val="00B94586"/>
    <w:rsid w:val="00B958D6"/>
    <w:rsid w:val="00B9649A"/>
    <w:rsid w:val="00B9652C"/>
    <w:rsid w:val="00B96D33"/>
    <w:rsid w:val="00B96FE2"/>
    <w:rsid w:val="00B97287"/>
    <w:rsid w:val="00BA345A"/>
    <w:rsid w:val="00BA4769"/>
    <w:rsid w:val="00BA60CD"/>
    <w:rsid w:val="00BA6FB6"/>
    <w:rsid w:val="00BA78FA"/>
    <w:rsid w:val="00BB0396"/>
    <w:rsid w:val="00BB509F"/>
    <w:rsid w:val="00BB7207"/>
    <w:rsid w:val="00BB7F12"/>
    <w:rsid w:val="00BC11CE"/>
    <w:rsid w:val="00BC191E"/>
    <w:rsid w:val="00BC22C6"/>
    <w:rsid w:val="00BC3D12"/>
    <w:rsid w:val="00BC4C08"/>
    <w:rsid w:val="00BC6CA0"/>
    <w:rsid w:val="00BD2EF0"/>
    <w:rsid w:val="00BD40CD"/>
    <w:rsid w:val="00BD4DE4"/>
    <w:rsid w:val="00BE03BA"/>
    <w:rsid w:val="00BE094B"/>
    <w:rsid w:val="00BE1167"/>
    <w:rsid w:val="00BE7CC5"/>
    <w:rsid w:val="00BF6A33"/>
    <w:rsid w:val="00C009F6"/>
    <w:rsid w:val="00C02A55"/>
    <w:rsid w:val="00C03118"/>
    <w:rsid w:val="00C05B8E"/>
    <w:rsid w:val="00C104E2"/>
    <w:rsid w:val="00C15864"/>
    <w:rsid w:val="00C15C22"/>
    <w:rsid w:val="00C15D2E"/>
    <w:rsid w:val="00C217D9"/>
    <w:rsid w:val="00C27B6A"/>
    <w:rsid w:val="00C35D4D"/>
    <w:rsid w:val="00C46CDC"/>
    <w:rsid w:val="00C47E91"/>
    <w:rsid w:val="00C47FCB"/>
    <w:rsid w:val="00C53095"/>
    <w:rsid w:val="00C546BE"/>
    <w:rsid w:val="00C57469"/>
    <w:rsid w:val="00C613F3"/>
    <w:rsid w:val="00C64446"/>
    <w:rsid w:val="00C654EC"/>
    <w:rsid w:val="00C71CBA"/>
    <w:rsid w:val="00C734CE"/>
    <w:rsid w:val="00C746DE"/>
    <w:rsid w:val="00C76858"/>
    <w:rsid w:val="00C77BF5"/>
    <w:rsid w:val="00C77CC8"/>
    <w:rsid w:val="00C834F5"/>
    <w:rsid w:val="00C85FA0"/>
    <w:rsid w:val="00C958B8"/>
    <w:rsid w:val="00CA0551"/>
    <w:rsid w:val="00CA1BB5"/>
    <w:rsid w:val="00CB0B93"/>
    <w:rsid w:val="00CB7B33"/>
    <w:rsid w:val="00CC28E6"/>
    <w:rsid w:val="00CC488A"/>
    <w:rsid w:val="00CC5DB5"/>
    <w:rsid w:val="00CD09D9"/>
    <w:rsid w:val="00CD1FF3"/>
    <w:rsid w:val="00CD3EE7"/>
    <w:rsid w:val="00CD623E"/>
    <w:rsid w:val="00CD6F9E"/>
    <w:rsid w:val="00CD7881"/>
    <w:rsid w:val="00CE2E2D"/>
    <w:rsid w:val="00CE3F49"/>
    <w:rsid w:val="00CE5204"/>
    <w:rsid w:val="00CE71CA"/>
    <w:rsid w:val="00CE765C"/>
    <w:rsid w:val="00CF2301"/>
    <w:rsid w:val="00CF38AE"/>
    <w:rsid w:val="00CF4607"/>
    <w:rsid w:val="00CF5590"/>
    <w:rsid w:val="00CF70EE"/>
    <w:rsid w:val="00CF73C1"/>
    <w:rsid w:val="00CF79CC"/>
    <w:rsid w:val="00D0273B"/>
    <w:rsid w:val="00D028FD"/>
    <w:rsid w:val="00D03DFB"/>
    <w:rsid w:val="00D06D46"/>
    <w:rsid w:val="00D0702D"/>
    <w:rsid w:val="00D1153B"/>
    <w:rsid w:val="00D11C9C"/>
    <w:rsid w:val="00D1602C"/>
    <w:rsid w:val="00D1606F"/>
    <w:rsid w:val="00D1651C"/>
    <w:rsid w:val="00D22783"/>
    <w:rsid w:val="00D32417"/>
    <w:rsid w:val="00D328E1"/>
    <w:rsid w:val="00D352F2"/>
    <w:rsid w:val="00D355EB"/>
    <w:rsid w:val="00D35C08"/>
    <w:rsid w:val="00D428BE"/>
    <w:rsid w:val="00D46833"/>
    <w:rsid w:val="00D522CD"/>
    <w:rsid w:val="00D626B2"/>
    <w:rsid w:val="00D65C2D"/>
    <w:rsid w:val="00D67B88"/>
    <w:rsid w:val="00D757A4"/>
    <w:rsid w:val="00D76BB9"/>
    <w:rsid w:val="00D77C8E"/>
    <w:rsid w:val="00D77E31"/>
    <w:rsid w:val="00D800A8"/>
    <w:rsid w:val="00D81A33"/>
    <w:rsid w:val="00D82350"/>
    <w:rsid w:val="00D83EC7"/>
    <w:rsid w:val="00D85AC7"/>
    <w:rsid w:val="00D85C3A"/>
    <w:rsid w:val="00D85D03"/>
    <w:rsid w:val="00D86649"/>
    <w:rsid w:val="00D929D8"/>
    <w:rsid w:val="00D94F09"/>
    <w:rsid w:val="00D97EFE"/>
    <w:rsid w:val="00DA1147"/>
    <w:rsid w:val="00DA17C7"/>
    <w:rsid w:val="00DA23FF"/>
    <w:rsid w:val="00DA2AEA"/>
    <w:rsid w:val="00DA36AB"/>
    <w:rsid w:val="00DA50E7"/>
    <w:rsid w:val="00DA5B65"/>
    <w:rsid w:val="00DA7785"/>
    <w:rsid w:val="00DA79FC"/>
    <w:rsid w:val="00DB0F45"/>
    <w:rsid w:val="00DB2206"/>
    <w:rsid w:val="00DB7575"/>
    <w:rsid w:val="00DC464A"/>
    <w:rsid w:val="00DC4696"/>
    <w:rsid w:val="00DC4AEF"/>
    <w:rsid w:val="00DD261C"/>
    <w:rsid w:val="00DD3148"/>
    <w:rsid w:val="00DD6A03"/>
    <w:rsid w:val="00DD7C5F"/>
    <w:rsid w:val="00DE1019"/>
    <w:rsid w:val="00DE46EA"/>
    <w:rsid w:val="00DE66BC"/>
    <w:rsid w:val="00DF16C5"/>
    <w:rsid w:val="00DF3F50"/>
    <w:rsid w:val="00DF46BF"/>
    <w:rsid w:val="00DF6D77"/>
    <w:rsid w:val="00DF6F51"/>
    <w:rsid w:val="00DF78AB"/>
    <w:rsid w:val="00E0643D"/>
    <w:rsid w:val="00E1050E"/>
    <w:rsid w:val="00E246C5"/>
    <w:rsid w:val="00E27DB5"/>
    <w:rsid w:val="00E32445"/>
    <w:rsid w:val="00E32FB6"/>
    <w:rsid w:val="00E3396C"/>
    <w:rsid w:val="00E3750D"/>
    <w:rsid w:val="00E37AFB"/>
    <w:rsid w:val="00E400FB"/>
    <w:rsid w:val="00E40EE3"/>
    <w:rsid w:val="00E416F1"/>
    <w:rsid w:val="00E45AB3"/>
    <w:rsid w:val="00E5286C"/>
    <w:rsid w:val="00E5493D"/>
    <w:rsid w:val="00E56865"/>
    <w:rsid w:val="00E60745"/>
    <w:rsid w:val="00E610F7"/>
    <w:rsid w:val="00E62C91"/>
    <w:rsid w:val="00E67644"/>
    <w:rsid w:val="00E74332"/>
    <w:rsid w:val="00E751CE"/>
    <w:rsid w:val="00E7614B"/>
    <w:rsid w:val="00E76A94"/>
    <w:rsid w:val="00E80099"/>
    <w:rsid w:val="00E831E3"/>
    <w:rsid w:val="00E832C9"/>
    <w:rsid w:val="00E8514D"/>
    <w:rsid w:val="00E862CF"/>
    <w:rsid w:val="00E879FF"/>
    <w:rsid w:val="00E911C0"/>
    <w:rsid w:val="00E9148C"/>
    <w:rsid w:val="00E91CFC"/>
    <w:rsid w:val="00E95947"/>
    <w:rsid w:val="00E96530"/>
    <w:rsid w:val="00EA1C1A"/>
    <w:rsid w:val="00EA3BA3"/>
    <w:rsid w:val="00EA626F"/>
    <w:rsid w:val="00EA627C"/>
    <w:rsid w:val="00EA66A4"/>
    <w:rsid w:val="00EA7E2E"/>
    <w:rsid w:val="00EB10D4"/>
    <w:rsid w:val="00EB7CFC"/>
    <w:rsid w:val="00EC7DEB"/>
    <w:rsid w:val="00ED35DD"/>
    <w:rsid w:val="00ED4CCC"/>
    <w:rsid w:val="00ED5735"/>
    <w:rsid w:val="00ED5747"/>
    <w:rsid w:val="00ED7141"/>
    <w:rsid w:val="00EE0654"/>
    <w:rsid w:val="00EF0726"/>
    <w:rsid w:val="00EF4583"/>
    <w:rsid w:val="00EF57D9"/>
    <w:rsid w:val="00EF6ECF"/>
    <w:rsid w:val="00F01E61"/>
    <w:rsid w:val="00F01FD9"/>
    <w:rsid w:val="00F1515A"/>
    <w:rsid w:val="00F15BFC"/>
    <w:rsid w:val="00F205F8"/>
    <w:rsid w:val="00F20BAC"/>
    <w:rsid w:val="00F23AA4"/>
    <w:rsid w:val="00F24296"/>
    <w:rsid w:val="00F24A67"/>
    <w:rsid w:val="00F26602"/>
    <w:rsid w:val="00F31F83"/>
    <w:rsid w:val="00F33DBA"/>
    <w:rsid w:val="00F34698"/>
    <w:rsid w:val="00F404D0"/>
    <w:rsid w:val="00F42C05"/>
    <w:rsid w:val="00F42E83"/>
    <w:rsid w:val="00F434D3"/>
    <w:rsid w:val="00F45AA4"/>
    <w:rsid w:val="00F45C5B"/>
    <w:rsid w:val="00F460E9"/>
    <w:rsid w:val="00F46112"/>
    <w:rsid w:val="00F50958"/>
    <w:rsid w:val="00F51018"/>
    <w:rsid w:val="00F51643"/>
    <w:rsid w:val="00F517B7"/>
    <w:rsid w:val="00F52CDC"/>
    <w:rsid w:val="00F53210"/>
    <w:rsid w:val="00F55A4E"/>
    <w:rsid w:val="00F6060B"/>
    <w:rsid w:val="00F60AD6"/>
    <w:rsid w:val="00F62572"/>
    <w:rsid w:val="00F6583E"/>
    <w:rsid w:val="00F6590C"/>
    <w:rsid w:val="00F65C79"/>
    <w:rsid w:val="00F66322"/>
    <w:rsid w:val="00F67D67"/>
    <w:rsid w:val="00F712FD"/>
    <w:rsid w:val="00F74DC7"/>
    <w:rsid w:val="00F779C5"/>
    <w:rsid w:val="00F81337"/>
    <w:rsid w:val="00F814A6"/>
    <w:rsid w:val="00F82379"/>
    <w:rsid w:val="00F84A54"/>
    <w:rsid w:val="00F85721"/>
    <w:rsid w:val="00F90062"/>
    <w:rsid w:val="00F930D1"/>
    <w:rsid w:val="00F94A79"/>
    <w:rsid w:val="00F95936"/>
    <w:rsid w:val="00F959BC"/>
    <w:rsid w:val="00F967FB"/>
    <w:rsid w:val="00F96D34"/>
    <w:rsid w:val="00FA11D2"/>
    <w:rsid w:val="00FA1999"/>
    <w:rsid w:val="00FA220D"/>
    <w:rsid w:val="00FA25EB"/>
    <w:rsid w:val="00FA438D"/>
    <w:rsid w:val="00FA4E3D"/>
    <w:rsid w:val="00FA65FF"/>
    <w:rsid w:val="00FB151B"/>
    <w:rsid w:val="00FB3447"/>
    <w:rsid w:val="00FB4141"/>
    <w:rsid w:val="00FB4BEB"/>
    <w:rsid w:val="00FB4EDF"/>
    <w:rsid w:val="00FB4EF1"/>
    <w:rsid w:val="00FB613C"/>
    <w:rsid w:val="00FB6817"/>
    <w:rsid w:val="00FB7C24"/>
    <w:rsid w:val="00FC0AF1"/>
    <w:rsid w:val="00FC4F05"/>
    <w:rsid w:val="00FC52DC"/>
    <w:rsid w:val="00FD0C48"/>
    <w:rsid w:val="00FD48BC"/>
    <w:rsid w:val="00FD5D44"/>
    <w:rsid w:val="00FD6A9A"/>
    <w:rsid w:val="00FE093B"/>
    <w:rsid w:val="00FE0D8E"/>
    <w:rsid w:val="00FE1545"/>
    <w:rsid w:val="00FE20EA"/>
    <w:rsid w:val="00FE275D"/>
    <w:rsid w:val="00FF0CC9"/>
    <w:rsid w:val="00FF10FC"/>
    <w:rsid w:val="00FF1B05"/>
    <w:rsid w:val="00FF48B3"/>
    <w:rsid w:val="00FF4D21"/>
    <w:rsid w:val="00FF7231"/>
    <w:rsid w:val="2774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7"/>
    <w:unhideWhenUsed/>
    <w:uiPriority w:val="99"/>
    <w:pPr>
      <w:tabs>
        <w:tab w:val="center" w:pos="4153"/>
        <w:tab w:val="right" w:pos="8306"/>
      </w:tabs>
      <w:snapToGrid w:val="0"/>
      <w:jc w:val="left"/>
    </w:pPr>
    <w:rPr>
      <w:sz w:val="18"/>
      <w:szCs w:val="18"/>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rFonts w:eastAsia="仿宋_GB2312"/>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4"/>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uiPriority w:val="99"/>
    <w:rPr>
      <w:sz w:val="21"/>
      <w:szCs w:val="21"/>
    </w:rPr>
  </w:style>
  <w:style w:type="paragraph" w:styleId="12">
    <w:name w:val="List Paragraph"/>
    <w:basedOn w:val="1"/>
    <w:qFormat/>
    <w:uiPriority w:val="34"/>
    <w:pPr>
      <w:ind w:firstLine="420" w:firstLineChars="200"/>
    </w:pPr>
  </w:style>
  <w:style w:type="character" w:customStyle="1" w:styleId="13">
    <w:name w:val="批注文字 字符"/>
    <w:basedOn w:val="10"/>
    <w:link w:val="2"/>
    <w:semiHidden/>
    <w:uiPriority w:val="99"/>
  </w:style>
  <w:style w:type="character" w:customStyle="1" w:styleId="14">
    <w:name w:val="批注主题 字符"/>
    <w:basedOn w:val="13"/>
    <w:link w:val="7"/>
    <w:semiHidden/>
    <w:qFormat/>
    <w:uiPriority w:val="99"/>
    <w:rPr>
      <w:b/>
      <w:bCs/>
    </w:rPr>
  </w:style>
  <w:style w:type="character" w:customStyle="1" w:styleId="15">
    <w:name w:val="批注框文本 字符"/>
    <w:basedOn w:val="10"/>
    <w:link w:val="3"/>
    <w:semiHidden/>
    <w:uiPriority w:val="99"/>
    <w:rPr>
      <w:sz w:val="18"/>
      <w:szCs w:val="18"/>
    </w:rPr>
  </w:style>
  <w:style w:type="character" w:customStyle="1" w:styleId="16">
    <w:name w:val="页眉 字符"/>
    <w:basedOn w:val="10"/>
    <w:link w:val="5"/>
    <w:qFormat/>
    <w:uiPriority w:val="99"/>
    <w:rPr>
      <w:rFonts w:eastAsia="仿宋_GB2312"/>
      <w:sz w:val="18"/>
      <w:szCs w:val="18"/>
    </w:rPr>
  </w:style>
  <w:style w:type="character" w:customStyle="1" w:styleId="17">
    <w:name w:val="页脚 字符"/>
    <w:basedOn w:val="10"/>
    <w:link w:val="4"/>
    <w:qFormat/>
    <w:uiPriority w:val="99"/>
    <w:rPr>
      <w:sz w:val="18"/>
      <w:szCs w:val="18"/>
    </w:rPr>
  </w:style>
  <w:style w:type="paragraph" w:customStyle="1" w:styleId="18">
    <w:name w:val="列出段落1"/>
    <w:basedOn w:val="1"/>
    <w:qFormat/>
    <w:uiPriority w:val="34"/>
    <w:pPr>
      <w:ind w:firstLine="420" w:firstLineChars="200"/>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14A56-713F-42F1-9F0A-27F06BC0D934}">
  <ds:schemaRefs/>
</ds:datastoreItem>
</file>

<file path=docProps/app.xml><?xml version="1.0" encoding="utf-8"?>
<Properties xmlns="http://schemas.openxmlformats.org/officeDocument/2006/extended-properties" xmlns:vt="http://schemas.openxmlformats.org/officeDocument/2006/docPropsVTypes">
  <Template>Normal</Template>
  <Company>chinapnr</Company>
  <Pages>15</Pages>
  <Words>3084</Words>
  <Characters>17580</Characters>
  <Lines>146</Lines>
  <Paragraphs>41</Paragraphs>
  <TotalTime>4</TotalTime>
  <ScaleCrop>false</ScaleCrop>
  <LinksUpToDate>false</LinksUpToDate>
  <CharactersWithSpaces>20623</CharactersWithSpaces>
  <Application>WPS Office_11.1.0.9914_F1E327BC-269C-435d-A152-05C5408002CA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2021-07-14T01:41:00Z</dcterms:created>
  <dc:creator>赖洁</dc:creator>
  <cp:lastModifiedBy>西游却东行</cp:lastModifiedBy>
  <cp:lastPrinted>2019-01-14T08:01:00Z</cp:lastPrinted>
  <dcterms:modified xsi:type="dcterms:W3CDTF">2021-07-21T02:50:18Z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ies>
</file>